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44"/>
          <w:szCs w:val="44"/>
          <w:u w:val="none"/>
          <w:shd w:fill="auto" w:val="clear"/>
          <w:vertAlign w:val="baseline"/>
          <w:rtl w:val="0"/>
        </w:rPr>
        <w:t xml:space="preserve">Whose Phone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31f20"/>
          <w:sz w:val="44"/>
          <w:szCs w:val="44"/>
          <w:rtl w:val="0"/>
        </w:rPr>
        <w:t xml:space="preserve">i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31f20"/>
          <w:sz w:val="44"/>
          <w:szCs w:val="44"/>
          <w:u w:val="none"/>
          <w:shd w:fill="auto" w:val="clear"/>
          <w:vertAlign w:val="baseline"/>
          <w:rtl w:val="0"/>
        </w:rPr>
        <w:t xml:space="preserve">s This?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5876925</wp:posOffset>
                </wp:positionH>
                <wp:positionV relativeFrom="paragraph">
                  <wp:posOffset>295275</wp:posOffset>
                </wp:positionV>
                <wp:extent cx="2857500" cy="513397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2857500" cy="5133975"/>
                          <a:chOff x="152400" y="152400"/>
                          <a:chExt cx="2838450" cy="511492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24224" l="3594" r="49844" t="16109"/>
                          <a:stretch/>
                        </pic:blipFill>
                        <pic:spPr>
                          <a:xfrm>
                            <a:off x="152400" y="152400"/>
                            <a:ext cx="2838450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514350" y="1272125"/>
                            <a:ext cx="2124000" cy="248610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5876925</wp:posOffset>
                </wp:positionH>
                <wp:positionV relativeFrom="paragraph">
                  <wp:posOffset>295275</wp:posOffset>
                </wp:positionV>
                <wp:extent cx="2857500" cy="5133975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13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3"/>
        <w:spacing w:after="0" w:before="0" w:lineRule="auto"/>
        <w:rPr>
          <w:rFonts w:ascii="Helvetica Neue" w:cs="Helvetica Neue" w:eastAsia="Helvetica Neue" w:hAnsi="Helvetica Neue"/>
          <w:b w:val="0"/>
          <w:color w:val="38761d"/>
        </w:rPr>
      </w:pPr>
      <w:bookmarkStart w:colFirst="0" w:colLast="0" w:name="_5lw95inxqgw7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color w:val="38761d"/>
          <w:rtl w:val="0"/>
        </w:rPr>
        <w:t xml:space="preserve">Quick Check</w:t>
      </w:r>
    </w:p>
    <w:p w:rsidR="00000000" w:rsidDel="00000000" w:rsidP="00000000" w:rsidRDefault="00000000" w:rsidRPr="00000000" w14:paraId="00000003">
      <w:pP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Before you submit your assignment, do a quick check: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name my work as directed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the assignment?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 complete all of the steps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the assignment?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double-check and revise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my completed assignment for spelling, grammar, mechanical (capitalization, apostrophes, etc.) errors?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properly format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my response for the type of assignment?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use the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appropriate point of view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for the format?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Did I do the bare minimum or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go above and beyond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Can I proudly say this is </w:t>
      </w:r>
      <w:r w:rsidDel="00000000" w:rsidR="00000000" w:rsidRPr="00000000">
        <w:rPr>
          <w:rFonts w:ascii="Helvetica Neue" w:cs="Helvetica Neue" w:eastAsia="Helvetica Neue" w:hAnsi="Helvetica Neue"/>
          <w:color w:val="38761d"/>
          <w:rtl w:val="0"/>
        </w:rPr>
        <w:t xml:space="preserve">my best effort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1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0"/>
          <w:strike w:val="0"/>
          <w:u w:val="none"/>
          <w:shd w:fill="auto" w:val="clear"/>
          <w:vertAlign w:val="baseline"/>
          <w:rtl w:val="0"/>
        </w:rPr>
        <w:t xml:space="preserve">Choose one of the characters and complete the three steps to show what would be on this person’s cell phone. Be sure your answers are written in complete sentences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Connect to the character not the plot events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Complete the phone template based on the character and who they are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now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as a result of the events and conflict and what they learned along the way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a written rationale which includes details and explanations which answer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How?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Why?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each element connects to the character as a person.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Wallpaper – Sketch the character’s cell phone wallpaper with colored pencils. Provide a written rationale which includes details and explanations which answer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How?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Why?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the wallpaper connects to the character as a person.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right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10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Email – This character just received two messages. Thinking back over the reading, explain which other characters just sent messages to this character and include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content of each message.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Playlist – Write three song titles with artists’ names that would likely be on this character’s playlist.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a written rationale which includes details and explanations which answer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How?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and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Why?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each element connects to the character as a person.</w:t>
      </w:r>
      <w:r w:rsidDel="00000000" w:rsidR="00000000" w:rsidRPr="00000000">
        <w:rPr>
          <w:rtl w:val="0"/>
        </w:rPr>
      </w:r>
    </w:p>
    <w:sectPr>
      <w:pgSz w:h="12240" w:w="15840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