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3E" w:rsidRDefault="008E2012">
      <w:pPr>
        <w:pStyle w:val="Heading1"/>
        <w:rPr>
          <w:color w:val="88BC08"/>
          <w:sz w:val="28"/>
          <w:szCs w:val="28"/>
        </w:rPr>
      </w:pPr>
      <w:bookmarkStart w:id="0" w:name="_rd2o9yadnr20" w:colFirst="0" w:colLast="0"/>
      <w:bookmarkStart w:id="1" w:name="_GoBack"/>
      <w:bookmarkEnd w:id="0"/>
      <w:bookmarkEnd w:id="1"/>
      <w:r>
        <w:rPr>
          <w:color w:val="FF0000"/>
          <w:sz w:val="28"/>
          <w:szCs w:val="28"/>
        </w:rPr>
        <w:t xml:space="preserve">      /30 marks =       %</w:t>
      </w:r>
    </w:p>
    <w:p w:rsidR="001E7A3E" w:rsidRDefault="008E2012">
      <w:pPr>
        <w:pStyle w:val="Heading1"/>
        <w:rPr>
          <w:color w:val="FF0000"/>
          <w:sz w:val="36"/>
          <w:szCs w:val="36"/>
        </w:rPr>
      </w:pPr>
      <w:bookmarkStart w:id="2" w:name="_ygzmj0kxd2za" w:colFirst="0" w:colLast="0"/>
      <w:bookmarkEnd w:id="2"/>
      <w:r>
        <w:rPr>
          <w:color w:val="88BC08"/>
          <w:sz w:val="36"/>
          <w:szCs w:val="36"/>
        </w:rPr>
        <w:t>4.3 Modern Play Worksheet</w:t>
      </w:r>
      <w:r>
        <w:rPr>
          <w:color w:val="88BC08"/>
          <w:sz w:val="36"/>
          <w:szCs w:val="36"/>
        </w:rPr>
        <w:tab/>
      </w: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Read </w:t>
      </w:r>
      <w:r>
        <w:rPr>
          <w:rFonts w:ascii="Helvetica Neue" w:eastAsia="Helvetica Neue" w:hAnsi="Helvetica Neue" w:cs="Helvetica Neue"/>
          <w:color w:val="000000"/>
        </w:rPr>
        <w:t xml:space="preserve">“Heat Lightning” on </w:t>
      </w:r>
      <w:r>
        <w:rPr>
          <w:rFonts w:ascii="Helvetica Neue" w:eastAsia="Helvetica Neue" w:hAnsi="Helvetica Neue" w:cs="Helvetica Neue"/>
          <w:color w:val="88BC08"/>
        </w:rPr>
        <w:t xml:space="preserve">pp. 258-267 </w:t>
      </w:r>
      <w:r>
        <w:rPr>
          <w:rFonts w:ascii="Helvetica Neue" w:eastAsia="Helvetica Neue" w:hAnsi="Helvetica Neue" w:cs="Helvetica Neue"/>
          <w:b/>
          <w:i/>
          <w:color w:val="88BC08"/>
        </w:rPr>
        <w:t>Sightlines 10</w:t>
      </w:r>
      <w:r>
        <w:rPr>
          <w:rFonts w:ascii="Helvetica Neue" w:eastAsia="Helvetica Neue" w:hAnsi="Helvetica Neue" w:cs="Helvetica Neue"/>
          <w:b/>
          <w:i/>
          <w:color w:val="721011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 xml:space="preserve">and </w:t>
      </w:r>
      <w:r>
        <w:rPr>
          <w:rFonts w:ascii="Helvetica Neue" w:eastAsia="Helvetica Neue" w:hAnsi="Helvetica Neue" w:cs="Helvetica Neue"/>
          <w:b/>
          <w:color w:val="000000"/>
        </w:rPr>
        <w:t xml:space="preserve">answer </w:t>
      </w:r>
      <w:r>
        <w:rPr>
          <w:rFonts w:ascii="Helvetica Neue" w:eastAsia="Helvetica Neue" w:hAnsi="Helvetica Neue" w:cs="Helvetica Neue"/>
          <w:color w:val="000000"/>
        </w:rPr>
        <w:t>the following questions.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</w:rPr>
        <w:t xml:space="preserve">1.     </w:t>
      </w:r>
      <w:r>
        <w:rPr>
          <w:rFonts w:ascii="Helvetica Neue" w:eastAsia="Helvetica Neue" w:hAnsi="Helvetica Neue" w:cs="Helvetica Neue"/>
          <w:b/>
          <w:color w:val="FF0000"/>
        </w:rPr>
        <w:t>/6 Marks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425"/>
      </w:tblGrid>
      <w:tr w:rsidR="001E7A3E">
        <w:trPr>
          <w:trHeight w:val="560"/>
        </w:trPr>
        <w:tc>
          <w:tcPr>
            <w:tcW w:w="2145" w:type="dxa"/>
            <w:vMerge w:val="restart"/>
            <w:shd w:val="clear" w:color="auto" w:fill="88BC08"/>
            <w:vAlign w:val="center"/>
          </w:tcPr>
          <w:p w:rsidR="001E7A3E" w:rsidRDefault="008E2012">
            <w:pPr>
              <w:ind w:left="113" w:right="113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Visual</w:t>
            </w:r>
          </w:p>
        </w:tc>
        <w:tc>
          <w:tcPr>
            <w:tcW w:w="7425" w:type="dxa"/>
          </w:tcPr>
          <w:p w:rsidR="001E7A3E" w:rsidRDefault="008E2012">
            <w:pPr>
              <w:rPr>
                <w:rFonts w:ascii="Helvetica Neue" w:eastAsia="Helvetica Neue" w:hAnsi="Helvetica Neue" w:cs="Helvetica Neue"/>
                <w:b/>
                <w:color w:val="0000FF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Focal Point                    </w:t>
            </w:r>
          </w:p>
          <w:p w:rsidR="001E7A3E" w:rsidRDefault="008E2012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is the dominant image in the visual?</w:t>
            </w: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rPr>
          <w:trHeight w:val="280"/>
        </w:trPr>
        <w:tc>
          <w:tcPr>
            <w:tcW w:w="2145" w:type="dxa"/>
            <w:vMerge/>
            <w:shd w:val="clear" w:color="auto" w:fill="88BC08"/>
            <w:vAlign w:val="center"/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425" w:type="dxa"/>
          </w:tcPr>
          <w:p w:rsidR="001E7A3E" w:rsidRDefault="008E2012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Image</w:t>
            </w:r>
          </w:p>
          <w:p w:rsidR="001E7A3E" w:rsidRDefault="008E2012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What 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mood 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 xml:space="preserve">is set by the opening 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visual </w:t>
            </w:r>
            <w:r>
              <w:rPr>
                <w:rFonts w:ascii="Helvetica Neue" w:eastAsia="Helvetica Neue" w:hAnsi="Helvetica Neue" w:cs="Helvetica Neue"/>
              </w:rPr>
              <w:t xml:space="preserve">on </w:t>
            </w:r>
            <w:r>
              <w:rPr>
                <w:rFonts w:ascii="Helvetica Neue" w:eastAsia="Helvetica Neue" w:hAnsi="Helvetica Neue" w:cs="Helvetica Neue"/>
                <w:color w:val="88BC08"/>
              </w:rPr>
              <w:t>p. 258</w:t>
            </w:r>
            <w:proofErr w:type="gramEnd"/>
            <w:r>
              <w:rPr>
                <w:rFonts w:ascii="Helvetica Neue" w:eastAsia="Helvetica Neue" w:hAnsi="Helvetica Neue" w:cs="Helvetica Neue"/>
              </w:rPr>
              <w:t xml:space="preserve">? </w:t>
            </w: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Identify and explain 2 formal visual techniques from your notes that successfully create this mood.</w:t>
            </w: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1E7A3E" w:rsidRDefault="001E7A3E"/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/6</w:t>
      </w: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</w:rPr>
        <w:t xml:space="preserve">2. Only three characters appear in this modern play, so they are important. </w:t>
      </w:r>
      <w:r>
        <w:rPr>
          <w:rFonts w:ascii="Helvetica Neue" w:eastAsia="Helvetica Neue" w:hAnsi="Helvetica Neue" w:cs="Helvetica Neue"/>
          <w:b/>
        </w:rPr>
        <w:t xml:space="preserve">Describe </w:t>
      </w:r>
      <w:r>
        <w:rPr>
          <w:rFonts w:ascii="Helvetica Neue" w:eastAsia="Helvetica Neue" w:hAnsi="Helvetica Neue" w:cs="Helvetica Neue"/>
        </w:rPr>
        <w:t xml:space="preserve">each character below.     </w:t>
      </w:r>
      <w:r>
        <w:rPr>
          <w:rFonts w:ascii="Helvetica Neue" w:eastAsia="Helvetica Neue" w:hAnsi="Helvetica Neue" w:cs="Helvetica Neue"/>
          <w:b/>
          <w:color w:val="FF0000"/>
        </w:rPr>
        <w:t>(</w:t>
      </w:r>
      <w:proofErr w:type="gramStart"/>
      <w:r>
        <w:rPr>
          <w:rFonts w:ascii="Helvetica Neue" w:eastAsia="Helvetica Neue" w:hAnsi="Helvetica Neue" w:cs="Helvetica Neue"/>
          <w:b/>
          <w:color w:val="FF0000"/>
        </w:rPr>
        <w:t>1</w:t>
      </w:r>
      <w:proofErr w:type="gramEnd"/>
      <w:r>
        <w:rPr>
          <w:rFonts w:ascii="Helvetica Neue" w:eastAsia="Helvetica Neue" w:hAnsi="Helvetica Neue" w:cs="Helvetica Neue"/>
          <w:b/>
          <w:color w:val="FF0000"/>
        </w:rPr>
        <w:t xml:space="preserve"> mark for correct trait &amp; quote)</w:t>
      </w:r>
    </w:p>
    <w:tbl>
      <w:tblPr>
        <w:tblStyle w:val="a0"/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905"/>
        <w:gridCol w:w="6690"/>
      </w:tblGrid>
      <w:tr w:rsidR="001E7A3E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FF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Personality Traits 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Textual Evidence</w:t>
            </w:r>
          </w:p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(direct quotation) to support each characteristic</w:t>
            </w:r>
          </w:p>
        </w:tc>
      </w:tr>
      <w:tr w:rsidR="001E7A3E">
        <w:trPr>
          <w:trHeight w:val="440"/>
        </w:trPr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Girl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</w:tr>
      <w:tr w:rsidR="001E7A3E">
        <w:trPr>
          <w:trHeight w:val="440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</w:tr>
      <w:tr w:rsidR="001E7A3E">
        <w:trPr>
          <w:trHeight w:val="440"/>
        </w:trPr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  <w:b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First Man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</w:tr>
      <w:tr w:rsidR="001E7A3E">
        <w:trPr>
          <w:trHeight w:val="440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</w:tr>
      <w:tr w:rsidR="001E7A3E">
        <w:trPr>
          <w:trHeight w:val="440"/>
        </w:trPr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</w:rPr>
            </w:pPr>
          </w:p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Second Man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</w:tr>
      <w:tr w:rsidR="001E7A3E">
        <w:trPr>
          <w:trHeight w:val="440"/>
        </w:trPr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</w:tr>
    </w:tbl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</w:pPr>
    </w:p>
    <w:p w:rsidR="001E7A3E" w:rsidRDefault="008E2012">
      <w:pPr>
        <w:spacing w:after="0" w:line="24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8"/>
          <w:szCs w:val="28"/>
        </w:rPr>
        <w:t>/</w:t>
      </w:r>
      <w:proofErr w:type="gramStart"/>
      <w:r>
        <w:rPr>
          <w:b/>
          <w:color w:val="FF0000"/>
          <w:sz w:val="28"/>
          <w:szCs w:val="28"/>
        </w:rPr>
        <w:t xml:space="preserve">6  </w:t>
      </w:r>
      <w:r>
        <w:rPr>
          <w:b/>
          <w:color w:val="FF0000"/>
          <w:sz w:val="22"/>
          <w:szCs w:val="22"/>
        </w:rPr>
        <w:t>(</w:t>
      </w:r>
      <w:proofErr w:type="gramEnd"/>
      <w:r>
        <w:rPr>
          <w:b/>
          <w:color w:val="FF0000"/>
          <w:sz w:val="22"/>
          <w:szCs w:val="22"/>
        </w:rPr>
        <w:t>1 mark for proper use of quotation marks)</w:t>
      </w:r>
    </w:p>
    <w:p w:rsidR="001E7A3E" w:rsidRDefault="008E2012">
      <w:pPr>
        <w:spacing w:after="0" w:line="240" w:lineRule="auto"/>
      </w:pPr>
      <w:r>
        <w:t>3.  Review the information for theme at the beginning of Unit 1 Section 2.  Using the topics given below, create a meaningful theme statement for this play.  Remember that a complex theme statement may include more than one topic.</w:t>
      </w:r>
    </w:p>
    <w:p w:rsidR="001E7A3E" w:rsidRDefault="001E7A3E">
      <w:pPr>
        <w:spacing w:after="0" w:line="240" w:lineRule="auto"/>
      </w:pPr>
    </w:p>
    <w:p w:rsidR="001E7A3E" w:rsidRDefault="008E2012">
      <w:pPr>
        <w:numPr>
          <w:ilvl w:val="0"/>
          <w:numId w:val="1"/>
        </w:numPr>
        <w:spacing w:after="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fear</w:t>
      </w:r>
    </w:p>
    <w:p w:rsidR="001E7A3E" w:rsidRDefault="008E2012">
      <w:pPr>
        <w:numPr>
          <w:ilvl w:val="0"/>
          <w:numId w:val="1"/>
        </w:numPr>
        <w:spacing w:after="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trust</w:t>
      </w:r>
    </w:p>
    <w:p w:rsidR="001E7A3E" w:rsidRDefault="008E2012">
      <w:pPr>
        <w:numPr>
          <w:ilvl w:val="0"/>
          <w:numId w:val="1"/>
        </w:numPr>
        <w:spacing w:after="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choices</w:t>
      </w:r>
    </w:p>
    <w:p w:rsidR="001E7A3E" w:rsidRDefault="008E2012">
      <w:pPr>
        <w:numPr>
          <w:ilvl w:val="0"/>
          <w:numId w:val="1"/>
        </w:numPr>
        <w:spacing w:after="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coping with stress</w:t>
      </w:r>
    </w:p>
    <w:p w:rsidR="001E7A3E" w:rsidRDefault="008E2012">
      <w:pPr>
        <w:numPr>
          <w:ilvl w:val="0"/>
          <w:numId w:val="1"/>
        </w:numPr>
        <w:spacing w:after="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courage</w:t>
      </w:r>
    </w:p>
    <w:p w:rsidR="001E7A3E" w:rsidRDefault="008E2012">
      <w:pPr>
        <w:numPr>
          <w:ilvl w:val="0"/>
          <w:numId w:val="1"/>
        </w:numPr>
        <w:spacing w:after="160" w:line="313" w:lineRule="auto"/>
        <w:ind w:left="1240"/>
      </w:pPr>
      <w:r>
        <w:rPr>
          <w:rFonts w:ascii="Arial" w:eastAsia="Arial" w:hAnsi="Arial" w:cs="Arial"/>
          <w:color w:val="594A42"/>
          <w:sz w:val="23"/>
          <w:szCs w:val="23"/>
        </w:rPr>
        <w:t>strangers</w:t>
      </w:r>
    </w:p>
    <w:p w:rsidR="001E7A3E" w:rsidRDefault="001E7A3E">
      <w:pPr>
        <w:spacing w:after="0" w:line="240" w:lineRule="auto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7A3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</w:rPr>
            </w:pPr>
            <w:r>
              <w:t xml:space="preserve">Theme Statement:  </w:t>
            </w:r>
            <w:r>
              <w:rPr>
                <w:b/>
                <w:color w:val="FF0000"/>
              </w:rPr>
              <w:t>/2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E7A3E" w:rsidRDefault="001E7A3E">
      <w:pPr>
        <w:spacing w:after="0" w:line="240" w:lineRule="auto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7A3E">
        <w:tc>
          <w:tcPr>
            <w:tcW w:w="936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</w:rPr>
            </w:pPr>
            <w:r>
              <w:t xml:space="preserve">Direct quotes to directly support your theme statement (quotation marks required): </w:t>
            </w:r>
            <w:r>
              <w:rPr>
                <w:b/>
                <w:color w:val="FF0000"/>
              </w:rPr>
              <w:t>1 mark each</w:t>
            </w:r>
          </w:p>
        </w:tc>
      </w:tr>
      <w:tr w:rsidR="001E7A3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E7A3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E7A3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</w:t>
            </w:r>
          </w:p>
          <w:p w:rsidR="001E7A3E" w:rsidRDefault="001E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E7A3E" w:rsidRDefault="001E7A3E">
      <w:pPr>
        <w:spacing w:after="0" w:line="240" w:lineRule="auto"/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#4 is on the next page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/12 (3 marks each)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4</w:t>
      </w:r>
      <w:r>
        <w:rPr>
          <w:rFonts w:ascii="Helvetica Neue" w:eastAsia="Helvetica Neue" w:hAnsi="Helvetica Neue" w:cs="Helvetica Neue"/>
        </w:rPr>
        <w:t xml:space="preserve">. If you were directing this play, </w:t>
      </w:r>
      <w:r>
        <w:rPr>
          <w:rFonts w:ascii="Helvetica Neue" w:eastAsia="Helvetica Neue" w:hAnsi="Helvetica Neue" w:cs="Helvetica Neue"/>
          <w:b/>
        </w:rPr>
        <w:t xml:space="preserve">give three sound effects and three pieces of music with no </w:t>
      </w:r>
      <w:proofErr w:type="gramStart"/>
      <w:r>
        <w:rPr>
          <w:rFonts w:ascii="Helvetica Neue" w:eastAsia="Helvetica Neue" w:hAnsi="Helvetica Neue" w:cs="Helvetica Neue"/>
          <w:b/>
        </w:rPr>
        <w:t xml:space="preserve">vocals, </w:t>
      </w:r>
      <w:r>
        <w:rPr>
          <w:rFonts w:ascii="Helvetica Neue" w:eastAsia="Helvetica Neue" w:hAnsi="Helvetica Neue" w:cs="Helvetica Neue"/>
        </w:rPr>
        <w:t>that</w:t>
      </w:r>
      <w:proofErr w:type="gramEnd"/>
      <w:r>
        <w:rPr>
          <w:rFonts w:ascii="Helvetica Neue" w:eastAsia="Helvetica Neue" w:hAnsi="Helvetica Neue" w:cs="Helvetica Neue"/>
        </w:rPr>
        <w:t xml:space="preserve"> you would use within the play.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  <w:b/>
        </w:rPr>
      </w:pP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If you have access to the actual audio files that is great!  If you do not have sound effects and music already store</w:t>
      </w:r>
      <w:r>
        <w:rPr>
          <w:rFonts w:ascii="Helvetica Neue" w:eastAsia="Helvetica Neue" w:hAnsi="Helvetica Neue" w:cs="Helvetica Neue"/>
          <w:b/>
        </w:rPr>
        <w:t xml:space="preserve">d on your computer, you may want to go to this website:  </w:t>
      </w:r>
      <w:hyperlink r:id="rId7">
        <w:r>
          <w:rPr>
            <w:rFonts w:ascii="Helvetica Neue" w:eastAsia="Helvetica Neue" w:hAnsi="Helvetica Neue" w:cs="Helvetica Neue"/>
            <w:color w:val="1155CC"/>
            <w:u w:val="single"/>
          </w:rPr>
          <w:t>Music and Sound Effects</w:t>
        </w:r>
      </w:hyperlink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Once on the website you can search in the top bar and you </w:t>
      </w:r>
      <w:proofErr w:type="gramStart"/>
      <w:r>
        <w:rPr>
          <w:rFonts w:ascii="Helvetica Neue" w:eastAsia="Helvetica Neue" w:hAnsi="Helvetica Neue" w:cs="Helvetica Neue"/>
        </w:rPr>
        <w:t>can also</w:t>
      </w:r>
      <w:proofErr w:type="gramEnd"/>
      <w:r>
        <w:rPr>
          <w:rFonts w:ascii="Helvetica Neue" w:eastAsia="Helvetica Neue" w:hAnsi="Helvetica Neue" w:cs="Helvetica Neue"/>
        </w:rPr>
        <w:t xml:space="preserve"> make filter selections down the left side.</w:t>
      </w: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If this link does not work, search online for your own audio websites to complete this. </w:t>
      </w: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You should not download without a membership.</w:t>
      </w:r>
    </w:p>
    <w:p w:rsidR="001E7A3E" w:rsidRDefault="008E2012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Please </w:t>
      </w:r>
      <w:r>
        <w:rPr>
          <w:rFonts w:ascii="Helvetica Neue" w:eastAsia="Helvetica Neue" w:hAnsi="Helvetica Neue" w:cs="Helvetica Neue"/>
          <w:b/>
        </w:rPr>
        <w:t xml:space="preserve">provide the URL for each of your sound and music choices.  </w:t>
      </w:r>
    </w:p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</w:rPr>
      </w:pPr>
    </w:p>
    <w:tbl>
      <w:tblPr>
        <w:tblStyle w:val="a3"/>
        <w:tblW w:w="1047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7710"/>
      </w:tblGrid>
      <w:tr w:rsidR="001E7A3E">
        <w:tc>
          <w:tcPr>
            <w:tcW w:w="2760" w:type="dxa"/>
            <w:shd w:val="clear" w:color="auto" w:fill="88BC0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7710" w:type="dxa"/>
            <w:shd w:val="clear" w:color="auto" w:fill="88BC0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  <w:b/>
              </w:rPr>
            </w:pPr>
          </w:p>
        </w:tc>
      </w:tr>
      <w:tr w:rsidR="001E7A3E">
        <w:trPr>
          <w:trHeight w:val="172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1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2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2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Music 1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Music 2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1E7A3E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Music 2</w:t>
            </w: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Description: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Where in the Play?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8E2012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Sound audio or title of sound audio:</w:t>
            </w: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1E7A3E" w:rsidRDefault="001E7A3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</w:tbl>
    <w:p w:rsidR="001E7A3E" w:rsidRDefault="001E7A3E">
      <w:pPr>
        <w:spacing w:after="0" w:line="240" w:lineRule="auto"/>
        <w:rPr>
          <w:rFonts w:ascii="Helvetica Neue" w:eastAsia="Helvetica Neue" w:hAnsi="Helvetica Neue" w:cs="Helvetica Neue"/>
          <w:b/>
          <w:color w:val="88BC08"/>
        </w:rPr>
      </w:pPr>
    </w:p>
    <w:p w:rsidR="001E7A3E" w:rsidRDefault="001E7A3E">
      <w:pPr>
        <w:rPr>
          <w:color w:val="000000"/>
        </w:rPr>
      </w:pPr>
    </w:p>
    <w:sectPr w:rsidR="001E7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12" w:rsidRDefault="008E2012">
      <w:pPr>
        <w:spacing w:after="0" w:line="240" w:lineRule="auto"/>
      </w:pPr>
      <w:r>
        <w:separator/>
      </w:r>
    </w:p>
  </w:endnote>
  <w:endnote w:type="continuationSeparator" w:id="0">
    <w:p w:rsidR="008E2012" w:rsidRDefault="008E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12" w:rsidRDefault="008E2012">
      <w:pPr>
        <w:spacing w:after="0" w:line="240" w:lineRule="auto"/>
      </w:pPr>
      <w:r>
        <w:separator/>
      </w:r>
    </w:p>
  </w:footnote>
  <w:footnote w:type="continuationSeparator" w:id="0">
    <w:p w:rsidR="008E2012" w:rsidRDefault="008E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3E" w:rsidRDefault="001E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08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48A0"/>
    <w:multiLevelType w:val="multilevel"/>
    <w:tmpl w:val="E056E4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594A4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3E"/>
    <w:rsid w:val="001E7A3E"/>
    <w:rsid w:val="008E2012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BB763-753C-468E-936A-E0CAA3D8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ements.envato.com/audi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2020-04-02T04:01:00Z</dcterms:created>
  <dcterms:modified xsi:type="dcterms:W3CDTF">2020-04-02T04:01:00Z</dcterms:modified>
</cp:coreProperties>
</file>