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02" w:rsidRPr="008820FA" w:rsidRDefault="008820FA" w:rsidP="008820FA">
      <w:pPr>
        <w:jc w:val="center"/>
        <w:rPr>
          <w:rFonts w:ascii="Arial" w:hAnsi="Arial"/>
          <w:b/>
          <w:color w:val="2E74B5" w:themeColor="accent1" w:themeShade="BF"/>
          <w:sz w:val="36"/>
          <w:szCs w:val="36"/>
          <w:lang w:val="fr-CA"/>
        </w:rPr>
      </w:pPr>
      <w:r w:rsidRPr="008820FA">
        <w:rPr>
          <w:rFonts w:ascii="Arial" w:hAnsi="Arial"/>
          <w:b/>
          <w:noProof/>
          <w:color w:val="2E74B5" w:themeColor="accent1" w:themeShade="BF"/>
          <w:sz w:val="36"/>
          <w:szCs w:val="36"/>
          <w:lang w:val="fr-CA" w:eastAsia="fr-CA"/>
        </w:rPr>
        <w:t xml:space="preserve">Leçon 2.11 : Quelle est l’influence de la </w:t>
      </w:r>
      <w:r w:rsidRPr="008820FA">
        <w:rPr>
          <w:rFonts w:ascii="Arial" w:hAnsi="Arial"/>
          <w:b/>
          <w:i/>
          <w:noProof/>
          <w:color w:val="2E74B5" w:themeColor="accent1" w:themeShade="BF"/>
          <w:sz w:val="36"/>
          <w:szCs w:val="36"/>
          <w:lang w:val="fr-CA" w:eastAsia="fr-CA"/>
        </w:rPr>
        <w:t>Charte</w:t>
      </w:r>
      <w:r w:rsidRPr="008820FA">
        <w:rPr>
          <w:rFonts w:ascii="Arial" w:hAnsi="Arial"/>
          <w:b/>
          <w:noProof/>
          <w:color w:val="2E74B5" w:themeColor="accent1" w:themeShade="BF"/>
          <w:sz w:val="36"/>
          <w:szCs w:val="36"/>
          <w:lang w:val="fr-CA" w:eastAsia="fr-CA"/>
        </w:rPr>
        <w:t xml:space="preserve"> sur le processus législatif au Canada?</w:t>
      </w:r>
    </w:p>
    <w:p w:rsidR="004D1C72" w:rsidRPr="004D1C72" w:rsidRDefault="004D1C72" w:rsidP="004D1C72">
      <w:pPr>
        <w:jc w:val="center"/>
        <w:rPr>
          <w:rFonts w:ascii="Arial" w:hAnsi="Arial"/>
          <w:b/>
          <w:sz w:val="28"/>
          <w:szCs w:val="28"/>
          <w:lang w:val="fr-CA"/>
        </w:rPr>
      </w:pPr>
      <w:bookmarkStart w:id="0" w:name="_GoBack"/>
      <w:bookmarkEnd w:id="0"/>
      <w:r w:rsidRPr="004D1C72">
        <w:rPr>
          <w:rFonts w:ascii="Arial" w:hAnsi="Arial"/>
          <w:b/>
          <w:sz w:val="28"/>
          <w:szCs w:val="28"/>
          <w:lang w:val="fr-CA"/>
        </w:rPr>
        <w:t xml:space="preserve">Les problématiques et la </w:t>
      </w:r>
      <w:r w:rsidRPr="004D1C72">
        <w:rPr>
          <w:rFonts w:ascii="Arial" w:hAnsi="Arial"/>
          <w:b/>
          <w:i/>
          <w:sz w:val="28"/>
          <w:szCs w:val="28"/>
          <w:lang w:val="fr-CA"/>
        </w:rPr>
        <w:t>Charte</w:t>
      </w:r>
    </w:p>
    <w:p w:rsidR="004D1C72" w:rsidRPr="004D1C72" w:rsidRDefault="004D1C72" w:rsidP="004D1C72">
      <w:pPr>
        <w:rPr>
          <w:rFonts w:ascii="Arial" w:hAnsi="Arial"/>
          <w:b/>
          <w:sz w:val="24"/>
          <w:szCs w:val="24"/>
          <w:lang w:val="fr-CA"/>
        </w:rPr>
      </w:pPr>
      <w:r w:rsidRPr="004D1C72">
        <w:rPr>
          <w:rFonts w:ascii="Arial" w:hAnsi="Arial"/>
          <w:b/>
          <w:sz w:val="24"/>
          <w:szCs w:val="24"/>
          <w:lang w:val="fr-CA"/>
        </w:rPr>
        <w:t xml:space="preserve">Remplis le tableau suivant. </w:t>
      </w:r>
    </w:p>
    <w:p w:rsidR="004D1C72" w:rsidRPr="002E56A1" w:rsidRDefault="004D1C72" w:rsidP="004D1C72">
      <w:pPr>
        <w:pStyle w:val="BodyText"/>
        <w:ind w:left="360" w:hanging="360"/>
        <w:rPr>
          <w:rFonts w:cs="Arial"/>
          <w:lang w:val="fr-CA"/>
        </w:rPr>
      </w:pPr>
      <w:r w:rsidRPr="002E56A1">
        <w:rPr>
          <w:rFonts w:cs="Arial"/>
          <w:lang w:val="fr-CA"/>
        </w:rPr>
        <w:t xml:space="preserve">1. </w:t>
      </w:r>
      <w:r w:rsidRPr="002E56A1">
        <w:rPr>
          <w:rFonts w:cs="Arial"/>
          <w:lang w:val="fr-CA"/>
        </w:rPr>
        <w:tab/>
        <w:t>Dans ton manuel (</w:t>
      </w:r>
      <w:r w:rsidRPr="002E56A1">
        <w:rPr>
          <w:rFonts w:cs="Arial"/>
          <w:i/>
          <w:lang w:val="fr-CA"/>
        </w:rPr>
        <w:t xml:space="preserve">Le Canada, possibilités et </w:t>
      </w:r>
      <w:r w:rsidRPr="002E56A1">
        <w:rPr>
          <w:rFonts w:cs="Arial"/>
          <w:lang w:val="fr-CA"/>
        </w:rPr>
        <w:t>défis), tu as pris connaissance de cinq problématiques concernant les droits de la personne au Canada.</w:t>
      </w:r>
    </w:p>
    <w:p w:rsidR="004D1C72" w:rsidRPr="002E56A1" w:rsidRDefault="004D1C72" w:rsidP="004D1C72">
      <w:pPr>
        <w:pStyle w:val="BodyText"/>
        <w:rPr>
          <w:rFonts w:cs="Arial"/>
          <w:lang w:val="fr-CA"/>
        </w:rPr>
      </w:pPr>
    </w:p>
    <w:p w:rsidR="004D1C72" w:rsidRDefault="004D1C72" w:rsidP="004D1C72">
      <w:pPr>
        <w:pStyle w:val="BodyText"/>
        <w:ind w:left="360"/>
        <w:rPr>
          <w:rFonts w:cs="Arial"/>
          <w:lang w:val="fr-CA"/>
        </w:rPr>
      </w:pPr>
      <w:r w:rsidRPr="002E56A1">
        <w:rPr>
          <w:rFonts w:cs="Arial"/>
          <w:lang w:val="fr-CA"/>
        </w:rPr>
        <w:t>Identifie les causes et les effets des cinq événements énumérés dans le tableau ci-dessous.</w:t>
      </w:r>
    </w:p>
    <w:p w:rsidR="004D1C72" w:rsidRPr="001B7871" w:rsidRDefault="004D1C72" w:rsidP="004D1C72">
      <w:pPr>
        <w:pStyle w:val="BodyText"/>
        <w:ind w:left="360"/>
        <w:rPr>
          <w:rFonts w:cs="Arial"/>
          <w:lang w:val="fr-CA"/>
        </w:rPr>
      </w:pPr>
      <w:r w:rsidRPr="002E56A1">
        <w:rPr>
          <w:rFonts w:cs="Arial"/>
          <w:lang w:val="fr-CA"/>
        </w:rPr>
        <w:t xml:space="preserve">Note l’exemple </w:t>
      </w:r>
      <w:r w:rsidRPr="001B7871">
        <w:rPr>
          <w:rFonts w:cs="Arial"/>
          <w:lang w:val="fr-CA"/>
        </w:rPr>
        <w:t xml:space="preserve">fourni pour t’orienter dans tes réponses. </w:t>
      </w:r>
    </w:p>
    <w:p w:rsidR="004D1C72" w:rsidRDefault="004D1C72" w:rsidP="004D1C72">
      <w:pPr>
        <w:pStyle w:val="BodyText"/>
        <w:ind w:left="360"/>
        <w:rPr>
          <w:rFonts w:cs="Arial"/>
          <w:lang w:val="fr-CA"/>
        </w:rPr>
      </w:pPr>
    </w:p>
    <w:p w:rsidR="004D1C72" w:rsidRPr="002E56A1" w:rsidRDefault="004D1C72" w:rsidP="004D1C72">
      <w:pPr>
        <w:pStyle w:val="BodyText"/>
        <w:ind w:left="360"/>
        <w:rPr>
          <w:rFonts w:cs="Arial"/>
          <w:lang w:val="fr-CA"/>
        </w:rPr>
      </w:pPr>
      <w:r w:rsidRPr="002E56A1">
        <w:rPr>
          <w:rFonts w:cs="Arial"/>
          <w:lang w:val="fr-CA"/>
        </w:rPr>
        <w:t xml:space="preserve">Dans la colonne </w:t>
      </w:r>
      <w:r w:rsidRPr="002E56A1">
        <w:rPr>
          <w:rFonts w:cs="Arial"/>
          <w:i/>
          <w:lang w:val="fr-CA"/>
        </w:rPr>
        <w:t>Conclusions</w:t>
      </w:r>
      <w:r w:rsidRPr="002E56A1">
        <w:rPr>
          <w:rFonts w:cs="Arial"/>
          <w:lang w:val="fr-CA"/>
        </w:rPr>
        <w:t xml:space="preserve"> du tableau, identifie </w:t>
      </w:r>
      <w:r w:rsidRPr="002E56A1">
        <w:rPr>
          <w:rFonts w:cs="Arial"/>
          <w:b/>
          <w:lang w:val="fr-CA"/>
        </w:rPr>
        <w:t>deux</w:t>
      </w:r>
      <w:r w:rsidRPr="002E56A1">
        <w:rPr>
          <w:rFonts w:cs="Arial"/>
          <w:lang w:val="fr-CA"/>
        </w:rPr>
        <w:t xml:space="preserve"> droits et libertés individuels (garantis par la </w:t>
      </w:r>
      <w:r w:rsidRPr="002E56A1">
        <w:rPr>
          <w:rFonts w:cs="Arial"/>
          <w:i/>
          <w:lang w:val="fr-CA"/>
        </w:rPr>
        <w:t>Charte des droits et libertés</w:t>
      </w:r>
      <w:r w:rsidRPr="002E56A1">
        <w:rPr>
          <w:rFonts w:cs="Arial"/>
          <w:lang w:val="fr-CA"/>
        </w:rPr>
        <w:t xml:space="preserve">) qui ont été bafoués par les actions du gouvernement du Canada. </w:t>
      </w:r>
    </w:p>
    <w:p w:rsidR="004D1C72" w:rsidRPr="002E56A1" w:rsidRDefault="004D1C72" w:rsidP="004D1C72">
      <w:pPr>
        <w:pStyle w:val="BodyText"/>
        <w:rPr>
          <w:rFonts w:cs="Arial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2422"/>
        <w:gridCol w:w="1842"/>
        <w:gridCol w:w="2127"/>
        <w:gridCol w:w="1671"/>
      </w:tblGrid>
      <w:tr w:rsidR="004D1C72" w:rsidRPr="008820FA" w:rsidTr="00C449B0">
        <w:tc>
          <w:tcPr>
            <w:tcW w:w="151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color w:val="000000"/>
                <w:lang w:val="fr-CA"/>
              </w:rPr>
            </w:pPr>
            <w:r w:rsidRPr="00726467">
              <w:rPr>
                <w:rFonts w:ascii="Arial" w:hAnsi="Arial"/>
                <w:b/>
                <w:lang w:val="fr-CA"/>
              </w:rPr>
              <w:t>Groupe touché</w:t>
            </w:r>
          </w:p>
        </w:tc>
        <w:tc>
          <w:tcPr>
            <w:tcW w:w="2422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color w:val="000000"/>
                <w:lang w:val="fr-CA"/>
              </w:rPr>
            </w:pPr>
            <w:r w:rsidRPr="00726467">
              <w:rPr>
                <w:rFonts w:ascii="Arial" w:hAnsi="Arial"/>
                <w:b/>
                <w:lang w:val="fr-CA"/>
              </w:rPr>
              <w:t>Situation/Enjeu</w:t>
            </w:r>
          </w:p>
        </w:tc>
        <w:tc>
          <w:tcPr>
            <w:tcW w:w="1842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color w:val="000000"/>
                <w:lang w:val="fr-CA"/>
              </w:rPr>
            </w:pPr>
            <w:r w:rsidRPr="00726467">
              <w:rPr>
                <w:rFonts w:ascii="Arial" w:hAnsi="Arial"/>
                <w:b/>
                <w:lang w:val="fr-CA"/>
              </w:rPr>
              <w:t>Cause(s)</w:t>
            </w:r>
            <w:r w:rsidRPr="00726467">
              <w:rPr>
                <w:rFonts w:ascii="Arial" w:hAnsi="Arial"/>
                <w:color w:val="000000"/>
                <w:lang w:val="fr-CA"/>
              </w:rPr>
              <w:t xml:space="preserve"> 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fr-CA"/>
              </w:rPr>
            </w:pPr>
            <w:r w:rsidRPr="00726467">
              <w:rPr>
                <w:rFonts w:ascii="Arial" w:hAnsi="Arial"/>
                <w:sz w:val="20"/>
                <w:szCs w:val="20"/>
                <w:lang w:val="fr-CA"/>
              </w:rPr>
              <w:t>Pourquoi la situation ou l’enjeu se sont-ils produits?</w:t>
            </w:r>
          </w:p>
        </w:tc>
        <w:tc>
          <w:tcPr>
            <w:tcW w:w="2127" w:type="dxa"/>
          </w:tcPr>
          <w:p w:rsidR="004D1C72" w:rsidRPr="00726467" w:rsidRDefault="004D1C72" w:rsidP="00C449B0">
            <w:pPr>
              <w:spacing w:after="0" w:line="240" w:lineRule="auto"/>
              <w:rPr>
                <w:lang w:val="fr-CA"/>
              </w:rPr>
            </w:pPr>
            <w:r w:rsidRPr="00726467">
              <w:rPr>
                <w:rFonts w:ascii="Arial" w:hAnsi="Arial"/>
                <w:b/>
                <w:lang w:val="fr-CA"/>
              </w:rPr>
              <w:t>Effet(s)</w:t>
            </w:r>
            <w:r w:rsidRPr="00726467">
              <w:rPr>
                <w:rFonts w:ascii="Arial" w:hAnsi="Arial"/>
                <w:color w:val="000000"/>
                <w:lang w:val="fr-CA"/>
              </w:rPr>
              <w:t xml:space="preserve"> 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color w:val="000000"/>
                <w:lang w:val="fr-CA"/>
              </w:rPr>
            </w:pPr>
            <w:r w:rsidRPr="00726467">
              <w:rPr>
                <w:rFonts w:ascii="Arial" w:hAnsi="Arial"/>
                <w:sz w:val="20"/>
                <w:szCs w:val="20"/>
                <w:lang w:val="fr-CA"/>
              </w:rPr>
              <w:t>Quels ont été les résultats immédiats de l’action du gouvernement?</w:t>
            </w:r>
          </w:p>
        </w:tc>
        <w:tc>
          <w:tcPr>
            <w:tcW w:w="1671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color w:val="000000"/>
                <w:lang w:val="fr-CA"/>
              </w:rPr>
            </w:pPr>
            <w:r w:rsidRPr="00726467">
              <w:rPr>
                <w:rFonts w:ascii="Arial" w:hAnsi="Arial"/>
                <w:b/>
                <w:lang w:val="fr-CA"/>
              </w:rPr>
              <w:t>Conclusions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  <w:lang w:val="fr-CA"/>
              </w:rPr>
            </w:pPr>
            <w:r w:rsidRPr="00726467">
              <w:rPr>
                <w:rFonts w:ascii="Arial" w:hAnsi="Arial"/>
                <w:sz w:val="20"/>
                <w:szCs w:val="20"/>
                <w:lang w:val="fr-CA"/>
              </w:rPr>
              <w:t>Quels droits ont été bafoués par cette action?</w:t>
            </w:r>
          </w:p>
        </w:tc>
      </w:tr>
      <w:tr w:rsidR="004D1C72" w:rsidRPr="008820FA" w:rsidTr="00C449B0">
        <w:trPr>
          <w:trHeight w:val="3450"/>
        </w:trPr>
        <w:tc>
          <w:tcPr>
            <w:tcW w:w="1514" w:type="dxa"/>
          </w:tcPr>
          <w:p w:rsidR="004D1C72" w:rsidRPr="00AD2102" w:rsidRDefault="004D1C72" w:rsidP="00C449B0">
            <w:pPr>
              <w:spacing w:before="60" w:after="0" w:line="240" w:lineRule="auto"/>
              <w:rPr>
                <w:rFonts w:ascii="Arial" w:hAnsi="Arial"/>
                <w:b/>
                <w:lang w:val="fr-CA"/>
              </w:rPr>
            </w:pPr>
            <w:r w:rsidRPr="00AD2102">
              <w:rPr>
                <w:rFonts w:ascii="Arial" w:hAnsi="Arial"/>
                <w:b/>
                <w:lang w:val="fr-CA"/>
              </w:rPr>
              <w:t>Les Canadiennes</w:t>
            </w:r>
          </w:p>
        </w:tc>
        <w:tc>
          <w:tcPr>
            <w:tcW w:w="242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lang w:val="fr-CA"/>
              </w:rPr>
            </w:pPr>
            <w:r w:rsidRPr="002E56A1">
              <w:rPr>
                <w:rFonts w:ascii="Arial" w:hAnsi="Arial"/>
                <w:i/>
                <w:lang w:val="fr-CA"/>
              </w:rPr>
              <w:t>La Loi électorale du Canada</w:t>
            </w:r>
            <w:r w:rsidRPr="002E56A1">
              <w:rPr>
                <w:rFonts w:ascii="Arial" w:hAnsi="Arial"/>
                <w:lang w:val="fr-CA"/>
              </w:rPr>
              <w:t xml:space="preserve"> a empêché les femmes de voter  jusqu’en 1917</w:t>
            </w:r>
            <w:r w:rsidRPr="002E56A1">
              <w:rPr>
                <w:rFonts w:ascii="Arial" w:hAnsi="Arial"/>
                <w:i/>
                <w:lang w:val="fr-CA"/>
              </w:rPr>
              <w:t xml:space="preserve">. </w:t>
            </w:r>
          </w:p>
        </w:tc>
        <w:tc>
          <w:tcPr>
            <w:tcW w:w="1842" w:type="dxa"/>
          </w:tcPr>
          <w:p w:rsidR="004D1C72" w:rsidRPr="002E56A1" w:rsidRDefault="004D1C72" w:rsidP="004D1C72">
            <w:pPr>
              <w:numPr>
                <w:ilvl w:val="0"/>
                <w:numId w:val="2"/>
              </w:numPr>
              <w:spacing w:before="60" w:after="0" w:line="240" w:lineRule="auto"/>
              <w:ind w:left="162" w:hanging="162"/>
              <w:rPr>
                <w:rFonts w:ascii="Arial" w:hAnsi="Arial"/>
                <w:i/>
                <w:sz w:val="20"/>
                <w:szCs w:val="20"/>
                <w:lang w:val="fr-CA"/>
              </w:rPr>
            </w:pPr>
            <w:r w:rsidRPr="002E56A1">
              <w:rPr>
                <w:rFonts w:ascii="Arial" w:hAnsi="Arial"/>
                <w:i/>
                <w:sz w:val="20"/>
                <w:szCs w:val="20"/>
                <w:lang w:val="fr-CA"/>
              </w:rPr>
              <w:t>Les femmes n’étaient pas considérées comme étant les égales de l’homme e</w:t>
            </w:r>
            <w:r>
              <w:rPr>
                <w:rFonts w:ascii="Arial" w:hAnsi="Arial"/>
                <w:i/>
                <w:sz w:val="20"/>
                <w:szCs w:val="20"/>
                <w:lang w:val="fr-CA"/>
              </w:rPr>
              <w:t>t  n</w:t>
            </w:r>
            <w:r w:rsidRPr="002E56A1">
              <w:rPr>
                <w:rFonts w:ascii="Arial" w:hAnsi="Arial"/>
                <w:i/>
                <w:sz w:val="20"/>
                <w:szCs w:val="20"/>
                <w:lang w:val="fr-CA"/>
              </w:rPr>
              <w:t xml:space="preserve">e jouissaient pas de droits démocratiques. </w:t>
            </w:r>
          </w:p>
          <w:p w:rsidR="004D1C72" w:rsidRPr="002E56A1" w:rsidRDefault="004D1C72" w:rsidP="004D1C72">
            <w:pPr>
              <w:numPr>
                <w:ilvl w:val="0"/>
                <w:numId w:val="2"/>
              </w:numPr>
              <w:spacing w:before="60" w:after="0" w:line="240" w:lineRule="auto"/>
              <w:ind w:left="162" w:hanging="162"/>
              <w:rPr>
                <w:rFonts w:ascii="Arial" w:hAnsi="Arial"/>
                <w:i/>
                <w:sz w:val="20"/>
                <w:szCs w:val="20"/>
                <w:lang w:val="fr-CA"/>
              </w:rPr>
            </w:pPr>
            <w:r w:rsidRPr="002E56A1">
              <w:rPr>
                <w:rFonts w:ascii="Arial" w:hAnsi="Arial"/>
                <w:i/>
                <w:sz w:val="20"/>
                <w:szCs w:val="20"/>
                <w:lang w:val="fr-CA"/>
              </w:rPr>
              <w:t xml:space="preserve">Jusqu’à 1929, les femmes n’étaient pas considérées comme des personnes aux yeux de la loi. </w:t>
            </w:r>
          </w:p>
        </w:tc>
        <w:tc>
          <w:tcPr>
            <w:tcW w:w="2127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lang w:val="fr-CA"/>
              </w:rPr>
            </w:pPr>
            <w:r w:rsidRPr="002E56A1">
              <w:rPr>
                <w:rFonts w:ascii="Arial" w:hAnsi="Arial"/>
                <w:i/>
                <w:sz w:val="20"/>
                <w:szCs w:val="20"/>
                <w:lang w:val="fr-CA"/>
              </w:rPr>
              <w:t>Les femmes ont fondé des groupes de suffragettes pour revendiquer le droit de vote.</w:t>
            </w:r>
          </w:p>
          <w:p w:rsidR="004D1C72" w:rsidRPr="00726467" w:rsidRDefault="004D1C72" w:rsidP="00C449B0">
            <w:pPr>
              <w:spacing w:before="60" w:after="0" w:line="240" w:lineRule="auto"/>
              <w:ind w:left="162"/>
              <w:rPr>
                <w:rFonts w:ascii="Times New Roman" w:hAnsi="Times New Roman"/>
                <w:i/>
                <w:color w:val="0000FF"/>
                <w:sz w:val="20"/>
                <w:szCs w:val="20"/>
                <w:lang w:val="fr-CA"/>
              </w:rPr>
            </w:pPr>
          </w:p>
        </w:tc>
        <w:tc>
          <w:tcPr>
            <w:tcW w:w="1671" w:type="dxa"/>
          </w:tcPr>
          <w:p w:rsidR="004D1C72" w:rsidRPr="002E56A1" w:rsidRDefault="004D1C72" w:rsidP="00C449B0">
            <w:pPr>
              <w:spacing w:before="60" w:after="0" w:line="240" w:lineRule="auto"/>
              <w:rPr>
                <w:rFonts w:ascii="Arial" w:hAnsi="Arial"/>
                <w:i/>
                <w:color w:val="000000"/>
                <w:sz w:val="20"/>
                <w:szCs w:val="20"/>
                <w:lang w:val="fr-CA"/>
              </w:rPr>
            </w:pPr>
            <w:r w:rsidRPr="002E56A1">
              <w:rPr>
                <w:rFonts w:ascii="Arial" w:hAnsi="Arial"/>
                <w:i/>
                <w:sz w:val="20"/>
                <w:szCs w:val="20"/>
                <w:lang w:val="fr-CA"/>
              </w:rPr>
              <w:t xml:space="preserve">Les droits à l’égalité et les droits démocratiques ont été bafoués. </w:t>
            </w:r>
          </w:p>
          <w:p w:rsidR="004D1C72" w:rsidRPr="002E56A1" w:rsidRDefault="004D1C72" w:rsidP="00C449B0">
            <w:pPr>
              <w:spacing w:before="60" w:after="0" w:line="240" w:lineRule="auto"/>
              <w:ind w:left="162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lang w:val="fr-CA"/>
              </w:rPr>
            </w:pPr>
          </w:p>
        </w:tc>
      </w:tr>
      <w:tr w:rsidR="004D1C72" w:rsidRPr="008820FA" w:rsidTr="00C449B0">
        <w:tc>
          <w:tcPr>
            <w:tcW w:w="1514" w:type="dxa"/>
          </w:tcPr>
          <w:p w:rsidR="004D1C72" w:rsidRPr="004D1C72" w:rsidRDefault="004D1C72" w:rsidP="00C449B0">
            <w:pPr>
              <w:spacing w:before="60" w:after="0" w:line="240" w:lineRule="auto"/>
              <w:rPr>
                <w:rFonts w:ascii="Arial" w:hAnsi="Arial"/>
                <w:b/>
                <w:lang w:val="fr-CA"/>
              </w:rPr>
            </w:pPr>
            <w:r w:rsidRPr="004D1C72">
              <w:rPr>
                <w:rFonts w:ascii="Arial" w:hAnsi="Arial"/>
                <w:b/>
                <w:lang w:val="fr-CA"/>
              </w:rPr>
              <w:t>Premières nations</w:t>
            </w:r>
          </w:p>
        </w:tc>
        <w:tc>
          <w:tcPr>
            <w:tcW w:w="242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lang w:val="fr-CA"/>
              </w:rPr>
            </w:pPr>
            <w:r w:rsidRPr="00726467">
              <w:rPr>
                <w:rFonts w:ascii="Arial" w:hAnsi="Arial"/>
                <w:i/>
                <w:lang w:val="fr-CA"/>
              </w:rPr>
              <w:t xml:space="preserve">Loi sur les Indiens </w:t>
            </w:r>
            <w:r w:rsidRPr="00726467">
              <w:rPr>
                <w:rFonts w:ascii="Arial" w:hAnsi="Arial"/>
                <w:lang w:val="fr-CA"/>
              </w:rPr>
              <w:t>de 1876</w:t>
            </w:r>
          </w:p>
        </w:tc>
        <w:tc>
          <w:tcPr>
            <w:tcW w:w="184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2127" w:type="dxa"/>
          </w:tcPr>
          <w:p w:rsidR="004D1C72" w:rsidRPr="00726467" w:rsidRDefault="004D1C72" w:rsidP="00C449B0">
            <w:pPr>
              <w:spacing w:before="60" w:after="0" w:line="240" w:lineRule="auto"/>
              <w:ind w:left="162" w:hanging="180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1671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</w:tr>
      <w:tr w:rsidR="004D1C72" w:rsidRPr="008820FA" w:rsidTr="00C449B0">
        <w:tc>
          <w:tcPr>
            <w:tcW w:w="1514" w:type="dxa"/>
          </w:tcPr>
          <w:p w:rsidR="004D1C72" w:rsidRPr="004D1C72" w:rsidRDefault="004D1C72" w:rsidP="00C449B0">
            <w:pPr>
              <w:spacing w:before="60" w:after="0" w:line="240" w:lineRule="auto"/>
              <w:rPr>
                <w:rFonts w:ascii="Arial" w:hAnsi="Arial"/>
                <w:b/>
                <w:lang w:val="fr-CA"/>
              </w:rPr>
            </w:pPr>
            <w:r w:rsidRPr="004D1C72">
              <w:rPr>
                <w:rFonts w:ascii="Arial" w:hAnsi="Arial"/>
                <w:b/>
                <w:lang w:val="fr-CA"/>
              </w:rPr>
              <w:t>Canadiens d’origine ukrainienne</w:t>
            </w:r>
          </w:p>
        </w:tc>
        <w:tc>
          <w:tcPr>
            <w:tcW w:w="242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lang w:val="fr-CA"/>
              </w:rPr>
            </w:pPr>
            <w:r w:rsidRPr="00726467">
              <w:rPr>
                <w:rFonts w:ascii="Arial" w:hAnsi="Arial"/>
                <w:lang w:val="fr-CA"/>
              </w:rPr>
              <w:t>Arrestation et internement de Canadiens d’origine ukrainienne, 1914</w:t>
            </w:r>
          </w:p>
        </w:tc>
        <w:tc>
          <w:tcPr>
            <w:tcW w:w="1842" w:type="dxa"/>
          </w:tcPr>
          <w:p w:rsidR="004D1C72" w:rsidRPr="00726467" w:rsidRDefault="004D1C72" w:rsidP="00C449B0">
            <w:pPr>
              <w:spacing w:before="60" w:after="0" w:line="240" w:lineRule="auto"/>
              <w:ind w:left="-18" w:firstLine="18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2127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1671" w:type="dxa"/>
          </w:tcPr>
          <w:p w:rsidR="004D1C72" w:rsidRPr="00726467" w:rsidRDefault="004D1C72" w:rsidP="00C449B0">
            <w:pPr>
              <w:pStyle w:val="NoSpacing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pStyle w:val="NoSpacing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pStyle w:val="NoSpacing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pStyle w:val="NoSpacing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pStyle w:val="NoSpacing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</w:tr>
      <w:tr w:rsidR="004D1C72" w:rsidRPr="008820FA" w:rsidTr="00C449B0">
        <w:tc>
          <w:tcPr>
            <w:tcW w:w="1514" w:type="dxa"/>
          </w:tcPr>
          <w:p w:rsidR="004D1C72" w:rsidRPr="004D1C72" w:rsidRDefault="004D1C72" w:rsidP="00C449B0">
            <w:pPr>
              <w:spacing w:before="60" w:after="0" w:line="240" w:lineRule="auto"/>
              <w:rPr>
                <w:rFonts w:ascii="Arial" w:hAnsi="Arial"/>
                <w:b/>
                <w:lang w:val="fr-CA"/>
              </w:rPr>
            </w:pPr>
            <w:r w:rsidRPr="004D1C72">
              <w:rPr>
                <w:rFonts w:ascii="Arial" w:hAnsi="Arial"/>
                <w:b/>
                <w:lang w:val="fr-CA"/>
              </w:rPr>
              <w:t>Canadiens d’origine italienne</w:t>
            </w:r>
          </w:p>
        </w:tc>
        <w:tc>
          <w:tcPr>
            <w:tcW w:w="242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lang w:val="fr-CA"/>
              </w:rPr>
            </w:pPr>
            <w:r w:rsidRPr="00726467">
              <w:rPr>
                <w:rFonts w:ascii="Arial" w:hAnsi="Arial"/>
                <w:lang w:val="fr-CA"/>
              </w:rPr>
              <w:t>Arrestation et internement de Canadiens d’origine italienne, 1940</w:t>
            </w:r>
          </w:p>
        </w:tc>
        <w:tc>
          <w:tcPr>
            <w:tcW w:w="184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2127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1671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</w:tc>
      </w:tr>
      <w:tr w:rsidR="004D1C72" w:rsidRPr="008820FA" w:rsidTr="00C449B0">
        <w:tc>
          <w:tcPr>
            <w:tcW w:w="1514" w:type="dxa"/>
          </w:tcPr>
          <w:p w:rsidR="004D1C72" w:rsidRPr="004D1C72" w:rsidRDefault="004D1C72" w:rsidP="00C449B0">
            <w:pPr>
              <w:spacing w:before="60" w:after="0" w:line="240" w:lineRule="auto"/>
              <w:rPr>
                <w:rFonts w:ascii="Arial" w:hAnsi="Arial"/>
                <w:b/>
                <w:lang w:val="fr-CA"/>
              </w:rPr>
            </w:pPr>
            <w:r w:rsidRPr="004D1C72">
              <w:rPr>
                <w:rFonts w:ascii="Arial" w:hAnsi="Arial"/>
                <w:b/>
                <w:lang w:val="fr-CA"/>
              </w:rPr>
              <w:t>Canadiens d’origine japonaise</w:t>
            </w:r>
          </w:p>
        </w:tc>
        <w:tc>
          <w:tcPr>
            <w:tcW w:w="242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lang w:val="fr-CA"/>
              </w:rPr>
            </w:pPr>
            <w:r w:rsidRPr="00726467">
              <w:rPr>
                <w:rFonts w:ascii="Arial" w:hAnsi="Arial"/>
                <w:lang w:val="fr-CA"/>
              </w:rPr>
              <w:t>Arrestation et internement de Canadiens d’origine japonaise, 1942</w:t>
            </w:r>
          </w:p>
        </w:tc>
        <w:tc>
          <w:tcPr>
            <w:tcW w:w="1842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2127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</w:tc>
        <w:tc>
          <w:tcPr>
            <w:tcW w:w="1671" w:type="dxa"/>
          </w:tcPr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0000FF"/>
                <w:lang w:val="fr-CA"/>
              </w:rPr>
            </w:pPr>
          </w:p>
          <w:p w:rsidR="004D1C72" w:rsidRPr="00726467" w:rsidRDefault="004D1C72" w:rsidP="00C449B0">
            <w:pPr>
              <w:spacing w:before="60" w:after="0" w:line="240" w:lineRule="auto"/>
              <w:rPr>
                <w:rFonts w:ascii="Arial" w:hAnsi="Arial"/>
                <w:color w:val="0000FF"/>
                <w:lang w:val="fr-CA"/>
              </w:rPr>
            </w:pPr>
          </w:p>
          <w:p w:rsidR="004D1C72" w:rsidRPr="00726467" w:rsidRDefault="004D1C72" w:rsidP="00C449B0">
            <w:pPr>
              <w:spacing w:before="60"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fr-CA"/>
              </w:rPr>
            </w:pPr>
          </w:p>
        </w:tc>
      </w:tr>
    </w:tbl>
    <w:p w:rsidR="004D1C72" w:rsidRPr="002E56A1" w:rsidRDefault="004D1C72" w:rsidP="004D1C72">
      <w:pPr>
        <w:rPr>
          <w:rFonts w:ascii="Arial" w:hAnsi="Arial"/>
          <w:sz w:val="24"/>
          <w:szCs w:val="24"/>
          <w:lang w:val="fr-CA"/>
        </w:rPr>
      </w:pPr>
    </w:p>
    <w:p w:rsidR="004D1C72" w:rsidRPr="004D1C72" w:rsidRDefault="004D1C72" w:rsidP="004D1C72">
      <w:pPr>
        <w:pStyle w:val="ListParagraph"/>
        <w:numPr>
          <w:ilvl w:val="0"/>
          <w:numId w:val="1"/>
        </w:numPr>
        <w:rPr>
          <w:lang w:val="fr-CA"/>
        </w:rPr>
      </w:pPr>
      <w:r w:rsidRPr="004D1C72">
        <w:rPr>
          <w:rFonts w:ascii="Arial" w:hAnsi="Arial"/>
          <w:sz w:val="24"/>
          <w:szCs w:val="24"/>
          <w:lang w:val="fr-CA"/>
        </w:rPr>
        <w:t>Note les points de vue opposés sur les problématiques abordées dans chaque exemple.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474"/>
        <w:gridCol w:w="3474"/>
      </w:tblGrid>
      <w:tr w:rsidR="004D1C72" w:rsidRPr="00726467" w:rsidTr="00C449B0">
        <w:tc>
          <w:tcPr>
            <w:tcW w:w="2628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Problématique</w:t>
            </w: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Un point de vue en lien avec la </w:t>
            </w:r>
            <w:r w:rsidRPr="00726467">
              <w:rPr>
                <w:rFonts w:ascii="Arial" w:hAnsi="Arial"/>
                <w:b/>
                <w:i/>
                <w:sz w:val="24"/>
                <w:szCs w:val="24"/>
                <w:lang w:val="fr-CA"/>
              </w:rPr>
              <w:t>Charte</w:t>
            </w: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Point de vue opposé</w:t>
            </w:r>
          </w:p>
        </w:tc>
      </w:tr>
      <w:tr w:rsidR="004D1C72" w:rsidRPr="008820FA" w:rsidTr="00C449B0">
        <w:tc>
          <w:tcPr>
            <w:tcW w:w="2628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Interprètes du langage des signes 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 xml:space="preserve">(Manuel, </w:t>
            </w:r>
            <w:r w:rsidRPr="004D1C72">
              <w:rPr>
                <w:rFonts w:ascii="Arial" w:hAnsi="Arial"/>
                <w:b/>
                <w:sz w:val="24"/>
                <w:szCs w:val="24"/>
                <w:lang w:val="fr-CA"/>
              </w:rPr>
              <w:t>page 105,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Pr="004D1C72">
              <w:rPr>
                <w:rFonts w:ascii="Arial" w:hAnsi="Arial"/>
                <w:i/>
                <w:sz w:val="24"/>
                <w:szCs w:val="24"/>
                <w:lang w:val="fr-CA"/>
              </w:rPr>
              <w:t>Faire tomber les obstacles à la communication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>)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4D1C72" w:rsidRPr="008820FA" w:rsidTr="00C449B0">
        <w:tc>
          <w:tcPr>
            <w:tcW w:w="2628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i/>
                <w:sz w:val="24"/>
                <w:szCs w:val="24"/>
                <w:lang w:val="fr-CA"/>
              </w:rPr>
              <w:t xml:space="preserve">Loi sur le dimanche 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 xml:space="preserve">(Manuel, </w:t>
            </w:r>
            <w:r w:rsidRPr="004D1C72">
              <w:rPr>
                <w:rFonts w:ascii="Arial" w:hAnsi="Arial"/>
                <w:b/>
                <w:sz w:val="24"/>
                <w:szCs w:val="24"/>
                <w:lang w:val="fr-CA"/>
              </w:rPr>
              <w:t>page 106,</w:t>
            </w:r>
            <w:r w:rsidRPr="004D1C72">
              <w:rPr>
                <w:rFonts w:ascii="Arial" w:hAnsi="Arial"/>
                <w:i/>
                <w:sz w:val="24"/>
                <w:szCs w:val="24"/>
                <w:lang w:val="fr-CA"/>
              </w:rPr>
              <w:t xml:space="preserve"> Ouvert tous les jours, 24  heure sur 24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>)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4D1C72" w:rsidRPr="008820FA" w:rsidTr="00C449B0">
        <w:tc>
          <w:tcPr>
            <w:tcW w:w="2628" w:type="dxa"/>
          </w:tcPr>
          <w:p w:rsidR="004D1C72" w:rsidRPr="00726467" w:rsidRDefault="004D1C72" w:rsidP="00C449B0">
            <w:pPr>
              <w:spacing w:after="0" w:line="240" w:lineRule="auto"/>
              <w:rPr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Liste d’interdiction de vol du Canada 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 xml:space="preserve">(Manuel, </w:t>
            </w: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page 107</w:t>
            </w:r>
            <w:r w:rsidRPr="004D1C72">
              <w:rPr>
                <w:rFonts w:ascii="Arial" w:hAnsi="Arial"/>
                <w:b/>
                <w:sz w:val="24"/>
                <w:szCs w:val="24"/>
                <w:lang w:val="fr-CA"/>
              </w:rPr>
              <w:t>,</w:t>
            </w:r>
            <w:r w:rsidRPr="004D1C72">
              <w:rPr>
                <w:rFonts w:ascii="Arial" w:hAnsi="Arial"/>
                <w:i/>
                <w:sz w:val="24"/>
                <w:szCs w:val="24"/>
                <w:lang w:val="fr-CA"/>
              </w:rPr>
              <w:t xml:space="preserve"> Restrictions concernant les voyages en avion)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4D1C72" w:rsidRPr="008820FA" w:rsidTr="00C449B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628" w:type="dxa"/>
          </w:tcPr>
          <w:p w:rsidR="004D1C72" w:rsidRPr="00726467" w:rsidRDefault="004D1C72" w:rsidP="00C449B0">
            <w:pPr>
              <w:spacing w:after="0" w:line="240" w:lineRule="auto"/>
              <w:ind w:left="108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Restrictions sur les publicités de malbouffe 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 xml:space="preserve">(Manuel, </w:t>
            </w:r>
            <w:r w:rsidRPr="004D1C72">
              <w:rPr>
                <w:rFonts w:ascii="Arial" w:hAnsi="Arial"/>
                <w:b/>
                <w:sz w:val="24"/>
                <w:szCs w:val="24"/>
                <w:lang w:val="fr-CA"/>
              </w:rPr>
              <w:t>page 109,</w:t>
            </w:r>
            <w:r w:rsidRPr="004D1C72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Pr="004D1C72">
              <w:rPr>
                <w:rFonts w:ascii="Arial" w:hAnsi="Arial"/>
                <w:i/>
                <w:sz w:val="24"/>
                <w:szCs w:val="24"/>
                <w:lang w:val="fr-CA"/>
              </w:rPr>
              <w:t>Les publicités de malbouffe interdites)</w:t>
            </w:r>
          </w:p>
          <w:p w:rsidR="004D1C72" w:rsidRPr="00726467" w:rsidRDefault="004D1C72" w:rsidP="00C449B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ind w:left="108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74" w:type="dxa"/>
          </w:tcPr>
          <w:p w:rsidR="004D1C72" w:rsidRPr="00726467" w:rsidRDefault="004D1C72" w:rsidP="00C449B0">
            <w:pPr>
              <w:spacing w:after="0" w:line="240" w:lineRule="auto"/>
              <w:ind w:left="108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</w:tbl>
    <w:p w:rsidR="00E52588" w:rsidRPr="004D1C72" w:rsidRDefault="00E52588">
      <w:pPr>
        <w:rPr>
          <w:lang w:val="fr-CA"/>
        </w:rPr>
      </w:pPr>
    </w:p>
    <w:sectPr w:rsidR="00E52588" w:rsidRPr="004D1C72" w:rsidSect="00AD210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1F1F"/>
    <w:multiLevelType w:val="hybridMultilevel"/>
    <w:tmpl w:val="BB789BB8"/>
    <w:lvl w:ilvl="0" w:tplc="DEB6A44E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545C231F"/>
    <w:multiLevelType w:val="hybridMultilevel"/>
    <w:tmpl w:val="D6BC7A06"/>
    <w:lvl w:ilvl="0" w:tplc="4E046EF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72"/>
    <w:rsid w:val="004D1C72"/>
    <w:rsid w:val="008820FA"/>
    <w:rsid w:val="00AD2102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027B-BBCD-42BA-A51D-49EB0C01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72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1C72"/>
    <w:pPr>
      <w:spacing w:after="0" w:line="240" w:lineRule="auto"/>
    </w:pPr>
    <w:rPr>
      <w:rFonts w:ascii="Calibri" w:eastAsia="Times New Roman" w:hAnsi="Calibri" w:cs="Arial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1C72"/>
    <w:rPr>
      <w:rFonts w:ascii="Calibri" w:eastAsia="Times New Roman" w:hAnsi="Calibri" w:cs="Arial"/>
      <w:lang w:val="en-US" w:eastAsia="ja-JP"/>
    </w:rPr>
  </w:style>
  <w:style w:type="paragraph" w:styleId="BodyText">
    <w:name w:val="Body Text"/>
    <w:link w:val="BodyTextChar"/>
    <w:qFormat/>
    <w:rsid w:val="004D1C72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4D1C72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2017-09-20T22:13:00Z</dcterms:created>
  <dcterms:modified xsi:type="dcterms:W3CDTF">2017-09-20T22:13:00Z</dcterms:modified>
</cp:coreProperties>
</file>