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A16" w:rsidRPr="006D48EC" w:rsidRDefault="00E930EA" w:rsidP="005D1AA6">
      <w:pPr>
        <w:spacing w:before="100" w:beforeAutospacing="1" w:after="100" w:afterAutospacing="1" w:line="240" w:lineRule="auto"/>
        <w:jc w:val="center"/>
        <w:outlineLvl w:val="5"/>
        <w:rPr>
          <w:rFonts w:ascii="Arial" w:eastAsia="Times New Roman" w:hAnsi="Arial" w:cs="Arial"/>
          <w:b/>
          <w:bCs/>
          <w:sz w:val="28"/>
          <w:szCs w:val="28"/>
        </w:rPr>
      </w:pPr>
      <w:bookmarkStart w:id="0" w:name="_GoBack"/>
      <w:bookmarkEnd w:id="0"/>
      <w:r>
        <w:rPr>
          <w:rFonts w:ascii="Arial" w:eastAsia="Times New Roman" w:hAnsi="Arial" w:cs="Arial"/>
          <w:b/>
          <w:bCs/>
          <w:sz w:val="28"/>
          <w:szCs w:val="28"/>
        </w:rPr>
        <w:t>Unit</w:t>
      </w:r>
      <w:r w:rsidR="008C2A16" w:rsidRPr="006D48EC">
        <w:rPr>
          <w:rFonts w:ascii="Arial" w:eastAsia="Times New Roman" w:hAnsi="Arial" w:cs="Arial"/>
          <w:b/>
          <w:bCs/>
          <w:sz w:val="28"/>
          <w:szCs w:val="28"/>
        </w:rPr>
        <w:t xml:space="preserve"> 3: Section 2</w:t>
      </w:r>
    </w:p>
    <w:p w:rsidR="005D1AA6" w:rsidRPr="006D48EC" w:rsidRDefault="005D1AA6" w:rsidP="005D1AA6">
      <w:pPr>
        <w:spacing w:before="100" w:beforeAutospacing="1" w:after="100" w:afterAutospacing="1" w:line="240" w:lineRule="auto"/>
        <w:jc w:val="center"/>
        <w:outlineLvl w:val="5"/>
        <w:rPr>
          <w:rFonts w:ascii="Arial" w:eastAsia="Times New Roman" w:hAnsi="Arial" w:cs="Arial"/>
          <w:b/>
          <w:bCs/>
          <w:sz w:val="28"/>
          <w:szCs w:val="28"/>
        </w:rPr>
      </w:pPr>
      <w:r w:rsidRPr="006D48EC">
        <w:rPr>
          <w:rFonts w:ascii="Arial" w:eastAsia="Times New Roman" w:hAnsi="Arial" w:cs="Arial"/>
          <w:b/>
          <w:bCs/>
          <w:sz w:val="28"/>
          <w:szCs w:val="28"/>
        </w:rPr>
        <w:t>Immigration to Canada Activity</w:t>
      </w:r>
    </w:p>
    <w:p w:rsidR="005D1AA6" w:rsidRPr="00885DB4" w:rsidRDefault="005D1AA6" w:rsidP="005D1AA6">
      <w:pPr>
        <w:spacing w:before="100" w:beforeAutospacing="1" w:after="100" w:afterAutospacing="1" w:line="240" w:lineRule="auto"/>
        <w:rPr>
          <w:rFonts w:ascii="Arial" w:eastAsia="Times New Roman" w:hAnsi="Arial" w:cs="Arial"/>
          <w:sz w:val="26"/>
          <w:szCs w:val="26"/>
        </w:rPr>
      </w:pPr>
      <w:r w:rsidRPr="00885DB4">
        <w:rPr>
          <w:rFonts w:ascii="Arial" w:eastAsia="Times New Roman" w:hAnsi="Arial" w:cs="Arial"/>
          <w:sz w:val="26"/>
          <w:szCs w:val="26"/>
        </w:rPr>
        <w:t> </w:t>
      </w:r>
      <w:r w:rsidRPr="00885DB4">
        <w:rPr>
          <w:rFonts w:ascii="Arial" w:eastAsia="Times New Roman" w:hAnsi="Arial" w:cs="Arial"/>
          <w:b/>
          <w:bCs/>
          <w:sz w:val="26"/>
          <w:szCs w:val="26"/>
        </w:rPr>
        <w:t>Introduction</w:t>
      </w:r>
    </w:p>
    <w:p w:rsidR="00E565BC" w:rsidRPr="009B1E41" w:rsidRDefault="005D1AA6" w:rsidP="005D1AA6">
      <w:pPr>
        <w:spacing w:before="100" w:beforeAutospacing="1" w:after="100" w:afterAutospacing="1" w:line="240" w:lineRule="auto"/>
        <w:rPr>
          <w:rFonts w:ascii="Arial" w:eastAsia="Times New Roman" w:hAnsi="Arial" w:cs="Arial"/>
        </w:rPr>
      </w:pPr>
      <w:r w:rsidRPr="009B1E41">
        <w:rPr>
          <w:rFonts w:ascii="Arial" w:eastAsia="Times New Roman" w:hAnsi="Arial" w:cs="Arial"/>
        </w:rPr>
        <w:t xml:space="preserve">The immigrant population of Canada consists of people who were born in other countries and have been granted the right to live </w:t>
      </w:r>
      <w:r w:rsidR="00E565BC" w:rsidRPr="009B1E41">
        <w:rPr>
          <w:rFonts w:ascii="Arial" w:eastAsia="Times New Roman" w:hAnsi="Arial" w:cs="Arial"/>
        </w:rPr>
        <w:t xml:space="preserve">permanently </w:t>
      </w:r>
      <w:r w:rsidRPr="009B1E41">
        <w:rPr>
          <w:rFonts w:ascii="Arial" w:eastAsia="Times New Roman" w:hAnsi="Arial" w:cs="Arial"/>
        </w:rPr>
        <w:t>in Canada</w:t>
      </w:r>
      <w:r w:rsidR="00CF2C7E" w:rsidRPr="009B1E41">
        <w:rPr>
          <w:rFonts w:ascii="Arial" w:eastAsia="Times New Roman" w:hAnsi="Arial" w:cs="Arial"/>
        </w:rPr>
        <w:t xml:space="preserve">.  </w:t>
      </w:r>
      <w:r w:rsidRPr="009B1E41">
        <w:rPr>
          <w:rFonts w:ascii="Arial" w:eastAsia="Times New Roman" w:hAnsi="Arial" w:cs="Arial"/>
        </w:rPr>
        <w:t xml:space="preserve">Many of these </w:t>
      </w:r>
      <w:r w:rsidR="00D0556C" w:rsidRPr="009B1E41">
        <w:rPr>
          <w:rFonts w:ascii="Arial" w:eastAsia="Times New Roman" w:hAnsi="Arial" w:cs="Arial"/>
        </w:rPr>
        <w:t xml:space="preserve">people </w:t>
      </w:r>
      <w:r w:rsidRPr="009B1E41">
        <w:rPr>
          <w:rFonts w:ascii="Arial" w:eastAsia="Times New Roman" w:hAnsi="Arial" w:cs="Arial"/>
        </w:rPr>
        <w:t>immigrated many years ago; others have come more recently</w:t>
      </w:r>
      <w:r w:rsidR="00CF2C7E" w:rsidRPr="009B1E41">
        <w:rPr>
          <w:rFonts w:ascii="Arial" w:eastAsia="Times New Roman" w:hAnsi="Arial" w:cs="Arial"/>
        </w:rPr>
        <w:t xml:space="preserve">.  </w:t>
      </w:r>
      <w:r w:rsidRPr="009B1E41">
        <w:rPr>
          <w:rFonts w:ascii="Arial" w:eastAsia="Times New Roman" w:hAnsi="Arial" w:cs="Arial"/>
        </w:rPr>
        <w:t xml:space="preserve">The figures from the 2001 Census add to the profile of </w:t>
      </w:r>
      <w:r w:rsidR="00CB7CCE">
        <w:rPr>
          <w:rFonts w:ascii="Arial" w:eastAsia="Times New Roman" w:hAnsi="Arial" w:cs="Arial"/>
        </w:rPr>
        <w:t>i</w:t>
      </w:r>
      <w:r w:rsidRPr="009B1E41">
        <w:rPr>
          <w:rFonts w:ascii="Arial" w:eastAsia="Times New Roman" w:hAnsi="Arial" w:cs="Arial"/>
        </w:rPr>
        <w:t xml:space="preserve">mmigration patterns in Canada that have been built over the years. </w:t>
      </w:r>
    </w:p>
    <w:p w:rsidR="005D1AA6" w:rsidRPr="009B1E41" w:rsidRDefault="005D1AA6" w:rsidP="005D1AA6">
      <w:pPr>
        <w:spacing w:before="100" w:beforeAutospacing="1" w:after="100" w:afterAutospacing="1" w:line="240" w:lineRule="auto"/>
        <w:rPr>
          <w:rFonts w:ascii="Arial" w:eastAsia="Times New Roman" w:hAnsi="Arial" w:cs="Arial"/>
          <w:b/>
        </w:rPr>
      </w:pPr>
      <w:r w:rsidRPr="009B1E41">
        <w:rPr>
          <w:rFonts w:ascii="Arial" w:eastAsia="Times New Roman" w:hAnsi="Arial" w:cs="Arial"/>
        </w:rPr>
        <w:t xml:space="preserve">In this </w:t>
      </w:r>
      <w:r w:rsidR="00CF2C7E" w:rsidRPr="009B1E41">
        <w:rPr>
          <w:rFonts w:ascii="Arial" w:eastAsia="Times New Roman" w:hAnsi="Arial" w:cs="Arial"/>
        </w:rPr>
        <w:t>activity,</w:t>
      </w:r>
      <w:r w:rsidRPr="009B1E41">
        <w:rPr>
          <w:rFonts w:ascii="Arial" w:eastAsia="Times New Roman" w:hAnsi="Arial" w:cs="Arial"/>
        </w:rPr>
        <w:t xml:space="preserve"> you will be graphing some immigration statistics</w:t>
      </w:r>
      <w:r w:rsidR="00CF2C7E" w:rsidRPr="009B1E41">
        <w:rPr>
          <w:rFonts w:ascii="Arial" w:eastAsia="Times New Roman" w:hAnsi="Arial" w:cs="Arial"/>
        </w:rPr>
        <w:t xml:space="preserve">.  </w:t>
      </w:r>
      <w:r w:rsidRPr="009B1E41">
        <w:rPr>
          <w:rFonts w:ascii="Arial" w:eastAsia="Times New Roman" w:hAnsi="Arial" w:cs="Arial"/>
          <w:b/>
        </w:rPr>
        <w:t>To complete the activity, follow the instructions at the beginning of each graph.</w:t>
      </w:r>
    </w:p>
    <w:p w:rsidR="005D1AA6" w:rsidRPr="00885DB4" w:rsidRDefault="005D1AA6" w:rsidP="005D1AA6">
      <w:pPr>
        <w:spacing w:before="100" w:beforeAutospacing="1" w:after="100" w:afterAutospacing="1" w:line="240" w:lineRule="auto"/>
        <w:rPr>
          <w:rFonts w:ascii="Arial" w:eastAsia="Times New Roman" w:hAnsi="Arial" w:cs="Arial"/>
          <w:sz w:val="26"/>
          <w:szCs w:val="26"/>
        </w:rPr>
      </w:pPr>
      <w:r w:rsidRPr="00CF2C7E">
        <w:rPr>
          <w:rFonts w:ascii="Arial" w:eastAsia="Times New Roman" w:hAnsi="Arial" w:cs="Arial"/>
        </w:rPr>
        <w:t> </w:t>
      </w:r>
      <w:r w:rsidRPr="00885DB4">
        <w:rPr>
          <w:rFonts w:ascii="Arial" w:eastAsia="Times New Roman" w:hAnsi="Arial" w:cs="Arial"/>
          <w:b/>
          <w:bCs/>
          <w:sz w:val="26"/>
          <w:szCs w:val="26"/>
        </w:rPr>
        <w:t>Graph 1</w:t>
      </w:r>
    </w:p>
    <w:p w:rsidR="00E565BC" w:rsidRDefault="00E565BC" w:rsidP="005D1AA6">
      <w:pPr>
        <w:spacing w:before="100" w:beforeAutospacing="1" w:after="100" w:afterAutospacing="1" w:line="240" w:lineRule="auto"/>
        <w:rPr>
          <w:rFonts w:ascii="Arial" w:eastAsia="Times New Roman" w:hAnsi="Arial" w:cs="Arial"/>
        </w:rPr>
      </w:pPr>
      <w:r w:rsidRPr="00CF2C7E">
        <w:rPr>
          <w:rFonts w:ascii="Arial" w:eastAsia="Times New Roman" w:hAnsi="Arial" w:cs="Arial"/>
        </w:rPr>
        <w:t>The census takes a snapshot of the population at a certain time</w:t>
      </w:r>
      <w:r w:rsidR="00CF2C7E" w:rsidRPr="00CF2C7E">
        <w:rPr>
          <w:rFonts w:ascii="Arial" w:eastAsia="Times New Roman" w:hAnsi="Arial" w:cs="Arial"/>
        </w:rPr>
        <w:t xml:space="preserve">.  </w:t>
      </w:r>
      <w:r w:rsidR="00D0556C">
        <w:rPr>
          <w:rFonts w:ascii="Arial" w:eastAsia="Times New Roman" w:hAnsi="Arial" w:cs="Arial"/>
        </w:rPr>
        <w:t xml:space="preserve">The </w:t>
      </w:r>
      <w:r w:rsidRPr="00CF2C7E">
        <w:rPr>
          <w:rFonts w:ascii="Arial" w:eastAsia="Times New Roman" w:hAnsi="Arial" w:cs="Arial"/>
        </w:rPr>
        <w:t>graph</w:t>
      </w:r>
      <w:r w:rsidR="00D0556C">
        <w:rPr>
          <w:rFonts w:ascii="Arial" w:eastAsia="Times New Roman" w:hAnsi="Arial" w:cs="Arial"/>
        </w:rPr>
        <w:t xml:space="preserve"> below</w:t>
      </w:r>
      <w:r w:rsidRPr="00CF2C7E">
        <w:rPr>
          <w:rFonts w:ascii="Arial" w:eastAsia="Times New Roman" w:hAnsi="Arial" w:cs="Arial"/>
        </w:rPr>
        <w:t xml:space="preserve"> tells us that 13% of the population enumerated in the census of 1901 were immigrants</w:t>
      </w:r>
      <w:r w:rsidR="00CF2C7E" w:rsidRPr="00CF2C7E">
        <w:rPr>
          <w:rFonts w:ascii="Arial" w:eastAsia="Times New Roman" w:hAnsi="Arial" w:cs="Arial"/>
        </w:rPr>
        <w:t xml:space="preserve">.  </w:t>
      </w:r>
      <w:r w:rsidRPr="00CF2C7E">
        <w:rPr>
          <w:rFonts w:ascii="Arial" w:eastAsia="Times New Roman" w:hAnsi="Arial" w:cs="Arial"/>
        </w:rPr>
        <w:t>The remaining 87% of the population were born in Canada</w:t>
      </w:r>
      <w:r w:rsidR="00CF2C7E" w:rsidRPr="00CF2C7E">
        <w:rPr>
          <w:rFonts w:ascii="Arial" w:eastAsia="Times New Roman" w:hAnsi="Arial" w:cs="Arial"/>
        </w:rPr>
        <w:t xml:space="preserve">.  </w:t>
      </w:r>
      <w:r w:rsidRPr="00CF2C7E">
        <w:rPr>
          <w:rFonts w:ascii="Arial" w:eastAsia="Times New Roman" w:hAnsi="Arial" w:cs="Arial"/>
          <w:b/>
        </w:rPr>
        <w:t>Use t</w:t>
      </w:r>
      <w:r w:rsidR="00D0556C">
        <w:rPr>
          <w:rFonts w:ascii="Arial" w:eastAsia="Times New Roman" w:hAnsi="Arial" w:cs="Arial"/>
          <w:b/>
        </w:rPr>
        <w:t>he data found in the chart on the following page</w:t>
      </w:r>
      <w:r w:rsidRPr="00CF2C7E">
        <w:rPr>
          <w:rFonts w:ascii="Arial" w:eastAsia="Times New Roman" w:hAnsi="Arial" w:cs="Arial"/>
          <w:b/>
        </w:rPr>
        <w:t xml:space="preserve"> to graph the immigration statistics for at least </w:t>
      </w:r>
      <w:r w:rsidRPr="00CF2C7E">
        <w:rPr>
          <w:rFonts w:ascii="Arial" w:eastAsia="Times New Roman" w:hAnsi="Arial" w:cs="Arial"/>
          <w:b/>
          <w:u w:val="single"/>
        </w:rPr>
        <w:t>four</w:t>
      </w:r>
      <w:r w:rsidRPr="00CF2C7E">
        <w:rPr>
          <w:rFonts w:ascii="Arial" w:eastAsia="Times New Roman" w:hAnsi="Arial" w:cs="Arial"/>
          <w:b/>
        </w:rPr>
        <w:t xml:space="preserve"> other census years</w:t>
      </w:r>
      <w:r w:rsidR="00CF2C7E" w:rsidRPr="00CF2C7E">
        <w:rPr>
          <w:rFonts w:ascii="Arial" w:eastAsia="Times New Roman" w:hAnsi="Arial" w:cs="Arial"/>
        </w:rPr>
        <w:t xml:space="preserve">.  </w:t>
      </w:r>
      <w:r w:rsidRPr="00CF2C7E">
        <w:rPr>
          <w:rFonts w:ascii="Arial" w:eastAsia="Times New Roman" w:hAnsi="Arial" w:cs="Arial"/>
        </w:rPr>
        <w:t>This will allow you to see how the trends in immigration into Canada have fluctuated over the century.</w:t>
      </w:r>
    </w:p>
    <w:p w:rsidR="00790A71" w:rsidRPr="00790A71" w:rsidRDefault="00790A71" w:rsidP="00790A71">
      <w:pPr>
        <w:spacing w:before="100" w:beforeAutospacing="1" w:after="100" w:afterAutospacing="1" w:line="240" w:lineRule="auto"/>
        <w:jc w:val="center"/>
        <w:rPr>
          <w:rFonts w:ascii="Arial" w:eastAsia="Times New Roman" w:hAnsi="Arial" w:cs="Arial"/>
          <w:b/>
          <w:sz w:val="24"/>
          <w:szCs w:val="24"/>
        </w:rPr>
      </w:pPr>
      <w:r w:rsidRPr="00790A71">
        <w:rPr>
          <w:rFonts w:ascii="Arial" w:eastAsia="Times New Roman" w:hAnsi="Arial" w:cs="Arial"/>
          <w:b/>
          <w:sz w:val="24"/>
          <w:szCs w:val="24"/>
        </w:rPr>
        <w:t xml:space="preserve">Immigrants as a percentage of the total population, 1901-2001 </w:t>
      </w:r>
    </w:p>
    <w:p w:rsidR="00790A71" w:rsidRPr="00CF2C7E" w:rsidRDefault="008C7879" w:rsidP="005D1AA6">
      <w:pPr>
        <w:spacing w:before="100" w:beforeAutospacing="1" w:after="100" w:afterAutospacing="1" w:line="240" w:lineRule="auto"/>
        <w:rPr>
          <w:rFonts w:ascii="Arial" w:eastAsia="Times New Roman" w:hAnsi="Arial" w:cs="Arial"/>
        </w:rPr>
      </w:pPr>
      <w:r>
        <w:rPr>
          <w:noProof/>
          <w:lang w:eastAsia="en-CA"/>
        </w:rPr>
        <w:drawing>
          <wp:inline distT="0" distB="0" distL="0" distR="0">
            <wp:extent cx="5951220" cy="3337560"/>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D1AA6" w:rsidRPr="00CF2C7E" w:rsidRDefault="005D1AA6" w:rsidP="005D1AA6">
      <w:pPr>
        <w:spacing w:before="100" w:beforeAutospacing="1" w:after="100" w:afterAutospacing="1" w:line="240" w:lineRule="auto"/>
        <w:rPr>
          <w:rFonts w:ascii="Arial" w:eastAsia="Times New Roman" w:hAnsi="Arial" w:cs="Arial"/>
          <w:sz w:val="24"/>
          <w:szCs w:val="24"/>
        </w:rPr>
      </w:pPr>
      <w:r w:rsidRPr="00CF2C7E">
        <w:rPr>
          <w:rFonts w:ascii="Arial" w:eastAsia="Times New Roman" w:hAnsi="Arial" w:cs="Arial"/>
          <w:sz w:val="24"/>
          <w:szCs w:val="24"/>
        </w:rPr>
        <w:t> </w:t>
      </w:r>
    </w:p>
    <w:tbl>
      <w:tblPr>
        <w:tblW w:w="195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483"/>
        <w:gridCol w:w="2542"/>
      </w:tblGrid>
      <w:tr w:rsidR="005D1AA6" w:rsidRPr="00CF2C7E" w:rsidTr="005D1A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b/>
              </w:rPr>
            </w:pPr>
            <w:r w:rsidRPr="00CF2C7E">
              <w:rPr>
                <w:rFonts w:ascii="Arial" w:eastAsia="Times New Roman" w:hAnsi="Arial" w:cs="Arial"/>
                <w:b/>
              </w:rPr>
              <w:lastRenderedPageBreak/>
              <w:t> Census Year</w:t>
            </w:r>
          </w:p>
        </w:tc>
        <w:tc>
          <w:tcPr>
            <w:tcW w:w="0" w:type="auto"/>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b/>
              </w:rPr>
            </w:pPr>
            <w:r w:rsidRPr="00CF2C7E">
              <w:rPr>
                <w:rFonts w:ascii="Arial" w:eastAsia="Times New Roman" w:hAnsi="Arial" w:cs="Arial"/>
                <w:b/>
              </w:rPr>
              <w:t xml:space="preserve">Percentage of Immigrants </w:t>
            </w:r>
            <w:r w:rsidRPr="00CF2C7E">
              <w:rPr>
                <w:rFonts w:ascii="Arial" w:eastAsia="Times New Roman" w:hAnsi="Arial" w:cs="Arial"/>
                <w:b/>
              </w:rPr>
              <w:br/>
              <w:t>in the Total Population</w:t>
            </w:r>
          </w:p>
        </w:tc>
      </w:tr>
      <w:tr w:rsidR="005D1AA6" w:rsidRPr="00CF2C7E" w:rsidTr="005D1A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rPr>
            </w:pPr>
            <w:r w:rsidRPr="00CF2C7E">
              <w:rPr>
                <w:rFonts w:ascii="Arial" w:eastAsia="Times New Roman" w:hAnsi="Arial" w:cs="Arial"/>
                <w:b/>
                <w:bCs/>
              </w:rPr>
              <w:t>1901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rPr>
            </w:pPr>
            <w:r w:rsidRPr="00CF2C7E">
              <w:rPr>
                <w:rFonts w:ascii="Arial" w:eastAsia="Times New Roman" w:hAnsi="Arial" w:cs="Arial"/>
              </w:rPr>
              <w:t>13,0</w:t>
            </w:r>
          </w:p>
        </w:tc>
      </w:tr>
      <w:tr w:rsidR="005D1AA6" w:rsidRPr="00CF2C7E" w:rsidTr="005D1A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rPr>
            </w:pPr>
            <w:r w:rsidRPr="00CF2C7E">
              <w:rPr>
                <w:rFonts w:ascii="Arial" w:eastAsia="Times New Roman" w:hAnsi="Arial" w:cs="Arial"/>
                <w:b/>
                <w:bCs/>
              </w:rPr>
              <w:t>1911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rPr>
            </w:pPr>
            <w:r w:rsidRPr="00CF2C7E">
              <w:rPr>
                <w:rFonts w:ascii="Arial" w:eastAsia="Times New Roman" w:hAnsi="Arial" w:cs="Arial"/>
              </w:rPr>
              <w:t>22,0</w:t>
            </w:r>
          </w:p>
        </w:tc>
      </w:tr>
      <w:tr w:rsidR="005D1AA6" w:rsidRPr="00CF2C7E" w:rsidTr="005D1A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rPr>
            </w:pPr>
            <w:r w:rsidRPr="00CF2C7E">
              <w:rPr>
                <w:rFonts w:ascii="Arial" w:eastAsia="Times New Roman" w:hAnsi="Arial" w:cs="Arial"/>
                <w:b/>
                <w:bCs/>
              </w:rPr>
              <w:t>1921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rPr>
            </w:pPr>
            <w:r w:rsidRPr="00CF2C7E">
              <w:rPr>
                <w:rFonts w:ascii="Arial" w:eastAsia="Times New Roman" w:hAnsi="Arial" w:cs="Arial"/>
              </w:rPr>
              <w:t>22,3</w:t>
            </w:r>
          </w:p>
        </w:tc>
      </w:tr>
      <w:tr w:rsidR="005D1AA6" w:rsidRPr="00CF2C7E" w:rsidTr="005D1A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rPr>
            </w:pPr>
            <w:r w:rsidRPr="00CF2C7E">
              <w:rPr>
                <w:rFonts w:ascii="Arial" w:eastAsia="Times New Roman" w:hAnsi="Arial" w:cs="Arial"/>
                <w:b/>
                <w:bCs/>
              </w:rPr>
              <w:t>1931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rPr>
            </w:pPr>
            <w:r w:rsidRPr="00CF2C7E">
              <w:rPr>
                <w:rFonts w:ascii="Arial" w:eastAsia="Times New Roman" w:hAnsi="Arial" w:cs="Arial"/>
              </w:rPr>
              <w:t>22,2</w:t>
            </w:r>
          </w:p>
        </w:tc>
      </w:tr>
      <w:tr w:rsidR="005D1AA6" w:rsidRPr="00CF2C7E" w:rsidTr="005D1A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rPr>
            </w:pPr>
            <w:r w:rsidRPr="00CF2C7E">
              <w:rPr>
                <w:rFonts w:ascii="Arial" w:eastAsia="Times New Roman" w:hAnsi="Arial" w:cs="Arial"/>
                <w:b/>
                <w:bCs/>
              </w:rPr>
              <w:t>1941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rPr>
            </w:pPr>
            <w:r w:rsidRPr="00CF2C7E">
              <w:rPr>
                <w:rFonts w:ascii="Arial" w:eastAsia="Times New Roman" w:hAnsi="Arial" w:cs="Arial"/>
              </w:rPr>
              <w:t>17,5</w:t>
            </w:r>
          </w:p>
        </w:tc>
      </w:tr>
      <w:tr w:rsidR="005D1AA6" w:rsidRPr="00CF2C7E" w:rsidTr="005D1A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rPr>
            </w:pPr>
            <w:r w:rsidRPr="00CF2C7E">
              <w:rPr>
                <w:rFonts w:ascii="Arial" w:eastAsia="Times New Roman" w:hAnsi="Arial" w:cs="Arial"/>
                <w:b/>
                <w:bCs/>
              </w:rPr>
              <w:t>1951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rPr>
            </w:pPr>
            <w:r w:rsidRPr="00CF2C7E">
              <w:rPr>
                <w:rFonts w:ascii="Arial" w:eastAsia="Times New Roman" w:hAnsi="Arial" w:cs="Arial"/>
              </w:rPr>
              <w:t>14,7</w:t>
            </w:r>
          </w:p>
        </w:tc>
      </w:tr>
      <w:tr w:rsidR="005D1AA6" w:rsidRPr="00CF2C7E" w:rsidTr="005D1A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rPr>
            </w:pPr>
            <w:r w:rsidRPr="00CF2C7E">
              <w:rPr>
                <w:rFonts w:ascii="Arial" w:eastAsia="Times New Roman" w:hAnsi="Arial" w:cs="Arial"/>
                <w:b/>
                <w:bCs/>
              </w:rPr>
              <w:t>1961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rPr>
            </w:pPr>
            <w:r w:rsidRPr="00CF2C7E">
              <w:rPr>
                <w:rFonts w:ascii="Arial" w:eastAsia="Times New Roman" w:hAnsi="Arial" w:cs="Arial"/>
              </w:rPr>
              <w:t>15,6</w:t>
            </w:r>
          </w:p>
        </w:tc>
      </w:tr>
      <w:tr w:rsidR="005D1AA6" w:rsidRPr="00CF2C7E" w:rsidTr="005D1A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rPr>
            </w:pPr>
            <w:r w:rsidRPr="00CF2C7E">
              <w:rPr>
                <w:rFonts w:ascii="Arial" w:eastAsia="Times New Roman" w:hAnsi="Arial" w:cs="Arial"/>
                <w:b/>
                <w:bCs/>
              </w:rPr>
              <w:t>1971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rPr>
            </w:pPr>
            <w:r w:rsidRPr="00CF2C7E">
              <w:rPr>
                <w:rFonts w:ascii="Arial" w:eastAsia="Times New Roman" w:hAnsi="Arial" w:cs="Arial"/>
              </w:rPr>
              <w:t>15,3</w:t>
            </w:r>
          </w:p>
        </w:tc>
      </w:tr>
      <w:tr w:rsidR="005D1AA6" w:rsidRPr="00CF2C7E" w:rsidTr="005D1A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rPr>
            </w:pPr>
            <w:r w:rsidRPr="00CF2C7E">
              <w:rPr>
                <w:rFonts w:ascii="Arial" w:eastAsia="Times New Roman" w:hAnsi="Arial" w:cs="Arial"/>
                <w:b/>
                <w:bCs/>
              </w:rPr>
              <w:t>1981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rPr>
            </w:pPr>
            <w:r w:rsidRPr="00CF2C7E">
              <w:rPr>
                <w:rFonts w:ascii="Arial" w:eastAsia="Times New Roman" w:hAnsi="Arial" w:cs="Arial"/>
              </w:rPr>
              <w:t>16,0</w:t>
            </w:r>
          </w:p>
        </w:tc>
      </w:tr>
      <w:tr w:rsidR="005D1AA6" w:rsidRPr="00CF2C7E" w:rsidTr="005D1A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rPr>
            </w:pPr>
            <w:r w:rsidRPr="00CF2C7E">
              <w:rPr>
                <w:rFonts w:ascii="Arial" w:eastAsia="Times New Roman" w:hAnsi="Arial" w:cs="Arial"/>
                <w:b/>
                <w:bCs/>
              </w:rPr>
              <w:t>1991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rPr>
            </w:pPr>
            <w:r w:rsidRPr="00CF2C7E">
              <w:rPr>
                <w:rFonts w:ascii="Arial" w:eastAsia="Times New Roman" w:hAnsi="Arial" w:cs="Arial"/>
              </w:rPr>
              <w:t>16,1</w:t>
            </w:r>
          </w:p>
        </w:tc>
      </w:tr>
      <w:tr w:rsidR="005D1AA6" w:rsidRPr="00CF2C7E" w:rsidTr="005D1A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rPr>
            </w:pPr>
            <w:r w:rsidRPr="00CF2C7E">
              <w:rPr>
                <w:rFonts w:ascii="Arial" w:eastAsia="Times New Roman" w:hAnsi="Arial" w:cs="Arial"/>
                <w:b/>
                <w:bCs/>
              </w:rPr>
              <w:t>2001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rPr>
            </w:pPr>
            <w:r w:rsidRPr="00CF2C7E">
              <w:rPr>
                <w:rFonts w:ascii="Arial" w:eastAsia="Times New Roman" w:hAnsi="Arial" w:cs="Arial"/>
              </w:rPr>
              <w:t>18,4</w:t>
            </w:r>
          </w:p>
        </w:tc>
      </w:tr>
    </w:tbl>
    <w:p w:rsidR="00510AEC" w:rsidRPr="00885DB4" w:rsidRDefault="005D1AA6" w:rsidP="00510AEC">
      <w:pPr>
        <w:spacing w:before="100" w:beforeAutospacing="1" w:after="100" w:afterAutospacing="1" w:line="240" w:lineRule="auto"/>
        <w:rPr>
          <w:rFonts w:ascii="Arial" w:eastAsia="Times New Roman" w:hAnsi="Arial" w:cs="Arial"/>
          <w:sz w:val="16"/>
          <w:szCs w:val="16"/>
        </w:rPr>
      </w:pPr>
      <w:r w:rsidRPr="00885DB4">
        <w:rPr>
          <w:rFonts w:ascii="Arial" w:eastAsia="Times New Roman" w:hAnsi="Arial" w:cs="Arial"/>
          <w:sz w:val="16"/>
          <w:szCs w:val="16"/>
        </w:rPr>
        <w:t> </w:t>
      </w:r>
      <w:r w:rsidR="00510AEC" w:rsidRPr="00885DB4">
        <w:rPr>
          <w:rFonts w:ascii="Arial" w:eastAsia="Times New Roman" w:hAnsi="Arial" w:cs="Arial"/>
          <w:sz w:val="16"/>
          <w:szCs w:val="16"/>
        </w:rPr>
        <w:t xml:space="preserve">Source: Adapted from </w:t>
      </w:r>
      <w:r w:rsidR="00510AEC" w:rsidRPr="00885DB4">
        <w:rPr>
          <w:rFonts w:ascii="Arial" w:eastAsia="Times New Roman" w:hAnsi="Arial" w:cs="Arial"/>
          <w:i/>
          <w:iCs/>
          <w:sz w:val="16"/>
          <w:szCs w:val="16"/>
        </w:rPr>
        <w:t>Statistics Canada</w:t>
      </w:r>
      <w:r w:rsidR="00510AEC" w:rsidRPr="00885DB4">
        <w:rPr>
          <w:rFonts w:ascii="Arial" w:eastAsia="Times New Roman" w:hAnsi="Arial" w:cs="Arial"/>
          <w:sz w:val="16"/>
          <w:szCs w:val="16"/>
        </w:rPr>
        <w:t>, &lt;</w:t>
      </w:r>
      <w:hyperlink r:id="rId9" w:history="1">
        <w:r w:rsidR="00510AEC" w:rsidRPr="00885DB4">
          <w:rPr>
            <w:rFonts w:ascii="Arial" w:eastAsia="Times New Roman" w:hAnsi="Arial" w:cs="Arial"/>
            <w:color w:val="3366CC"/>
            <w:sz w:val="16"/>
            <w:szCs w:val="16"/>
            <w:u w:val="single"/>
          </w:rPr>
          <w:t>http://www12.statcan.ca/english/census01/teacher%27s_kit/activity10_chart1.cfm</w:t>
        </w:r>
      </w:hyperlink>
      <w:r w:rsidR="00510AEC" w:rsidRPr="00885DB4">
        <w:rPr>
          <w:rFonts w:ascii="Arial" w:eastAsia="Times New Roman" w:hAnsi="Arial" w:cs="Arial"/>
          <w:sz w:val="16"/>
          <w:szCs w:val="16"/>
        </w:rPr>
        <w:t>&gt;. 2 June 2009.</w:t>
      </w:r>
    </w:p>
    <w:p w:rsidR="005D1AA6" w:rsidRPr="00885DB4" w:rsidRDefault="005D1AA6" w:rsidP="005D1AA6">
      <w:pPr>
        <w:spacing w:before="100" w:beforeAutospacing="1" w:after="100" w:afterAutospacing="1" w:line="240" w:lineRule="auto"/>
        <w:rPr>
          <w:rFonts w:ascii="Arial" w:eastAsia="Times New Roman" w:hAnsi="Arial" w:cs="Arial"/>
          <w:sz w:val="26"/>
          <w:szCs w:val="26"/>
        </w:rPr>
      </w:pPr>
      <w:r w:rsidRPr="00CF2C7E">
        <w:rPr>
          <w:rFonts w:ascii="Arial" w:eastAsia="Times New Roman" w:hAnsi="Arial" w:cs="Arial"/>
          <w:sz w:val="24"/>
          <w:szCs w:val="24"/>
        </w:rPr>
        <w:t> </w:t>
      </w:r>
      <w:r w:rsidRPr="00885DB4">
        <w:rPr>
          <w:rFonts w:ascii="Arial" w:eastAsia="Times New Roman" w:hAnsi="Arial" w:cs="Arial"/>
          <w:b/>
          <w:bCs/>
          <w:sz w:val="26"/>
          <w:szCs w:val="26"/>
        </w:rPr>
        <w:t>Graph 2</w:t>
      </w:r>
    </w:p>
    <w:p w:rsidR="005D1AA6" w:rsidRPr="00885DB4" w:rsidRDefault="005D1AA6" w:rsidP="005D1AA6">
      <w:pPr>
        <w:spacing w:before="100" w:beforeAutospacing="1" w:after="100" w:afterAutospacing="1" w:line="240" w:lineRule="auto"/>
        <w:rPr>
          <w:rFonts w:ascii="Arial" w:eastAsia="Times New Roman" w:hAnsi="Arial" w:cs="Arial"/>
        </w:rPr>
      </w:pPr>
      <w:r w:rsidRPr="00885DB4">
        <w:rPr>
          <w:rFonts w:ascii="Arial" w:eastAsia="Times New Roman" w:hAnsi="Arial" w:cs="Arial"/>
        </w:rPr>
        <w:t>The people who have immigrated to Canada have originated from many countries all over the world</w:t>
      </w:r>
      <w:r w:rsidR="00CF2C7E" w:rsidRPr="00885DB4">
        <w:rPr>
          <w:rFonts w:ascii="Arial" w:eastAsia="Times New Roman" w:hAnsi="Arial" w:cs="Arial"/>
        </w:rPr>
        <w:t xml:space="preserve">.  </w:t>
      </w:r>
      <w:r w:rsidRPr="00885DB4">
        <w:rPr>
          <w:rFonts w:ascii="Arial" w:eastAsia="Times New Roman" w:hAnsi="Arial" w:cs="Arial"/>
        </w:rPr>
        <w:t>Statistics Canada has arranged these countries by source areas</w:t>
      </w:r>
      <w:r w:rsidR="00CF2C7E" w:rsidRPr="00885DB4">
        <w:rPr>
          <w:rFonts w:ascii="Arial" w:eastAsia="Times New Roman" w:hAnsi="Arial" w:cs="Arial"/>
        </w:rPr>
        <w:t xml:space="preserve">.  </w:t>
      </w:r>
      <w:r w:rsidRPr="00885DB4">
        <w:rPr>
          <w:rFonts w:ascii="Arial" w:eastAsia="Times New Roman" w:hAnsi="Arial" w:cs="Arial"/>
        </w:rPr>
        <w:t>You can see these different source areas on the following map.</w:t>
      </w:r>
    </w:p>
    <w:p w:rsidR="005D1AA6" w:rsidRPr="00CF2C7E" w:rsidRDefault="005D1AA6" w:rsidP="005D1AA6">
      <w:pPr>
        <w:spacing w:before="100" w:beforeAutospacing="1" w:after="100" w:afterAutospacing="1" w:line="240" w:lineRule="auto"/>
        <w:rPr>
          <w:rFonts w:ascii="Arial" w:eastAsia="Times New Roman" w:hAnsi="Arial" w:cs="Arial"/>
          <w:sz w:val="24"/>
          <w:szCs w:val="24"/>
        </w:rPr>
      </w:pPr>
      <w:r w:rsidRPr="00CF2C7E">
        <w:rPr>
          <w:rFonts w:ascii="Arial" w:eastAsia="Times New Roman" w:hAnsi="Arial" w:cs="Arial"/>
          <w:sz w:val="24"/>
          <w:szCs w:val="24"/>
        </w:rPr>
        <w:lastRenderedPageBreak/>
        <w:t> </w:t>
      </w:r>
      <w:r w:rsidR="008C7879">
        <w:rPr>
          <w:rFonts w:ascii="Arial" w:eastAsia="Times New Roman" w:hAnsi="Arial" w:cs="Arial"/>
          <w:noProof/>
          <w:sz w:val="24"/>
          <w:szCs w:val="24"/>
          <w:lang w:eastAsia="en-CA"/>
        </w:rPr>
        <w:drawing>
          <wp:inline distT="0" distB="0" distL="0" distR="0">
            <wp:extent cx="5654040" cy="3985260"/>
            <wp:effectExtent l="0" t="0" r="3810" b="0"/>
            <wp:docPr id="2" name="Picture 1" descr="ss09_m3_016b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09_m3_016b_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4040" cy="3985260"/>
                    </a:xfrm>
                    <a:prstGeom prst="rect">
                      <a:avLst/>
                    </a:prstGeom>
                    <a:noFill/>
                    <a:ln>
                      <a:noFill/>
                    </a:ln>
                  </pic:spPr>
                </pic:pic>
              </a:graphicData>
            </a:graphic>
          </wp:inline>
        </w:drawing>
      </w:r>
    </w:p>
    <w:p w:rsidR="005D1AA6" w:rsidRPr="00885DB4" w:rsidRDefault="005D1AA6" w:rsidP="005D1AA6">
      <w:pPr>
        <w:spacing w:before="100" w:beforeAutospacing="1" w:after="100" w:afterAutospacing="1" w:line="240" w:lineRule="auto"/>
        <w:rPr>
          <w:rFonts w:ascii="Arial" w:eastAsia="Times New Roman" w:hAnsi="Arial" w:cs="Arial"/>
          <w:sz w:val="16"/>
          <w:szCs w:val="16"/>
        </w:rPr>
      </w:pPr>
      <w:r w:rsidRPr="00885DB4">
        <w:rPr>
          <w:rFonts w:ascii="Arial" w:eastAsia="Times New Roman" w:hAnsi="Arial" w:cs="Arial"/>
          <w:sz w:val="16"/>
          <w:szCs w:val="16"/>
        </w:rPr>
        <w:t xml:space="preserve">Adapted from </w:t>
      </w:r>
      <w:r w:rsidRPr="00885DB4">
        <w:rPr>
          <w:rFonts w:ascii="Arial" w:eastAsia="Times New Roman" w:hAnsi="Arial" w:cs="Arial"/>
          <w:i/>
          <w:iCs/>
          <w:sz w:val="16"/>
          <w:szCs w:val="16"/>
        </w:rPr>
        <w:t>Statistics Canada</w:t>
      </w:r>
      <w:r w:rsidRPr="00885DB4">
        <w:rPr>
          <w:rFonts w:ascii="Arial" w:eastAsia="Times New Roman" w:hAnsi="Arial" w:cs="Arial"/>
          <w:sz w:val="16"/>
          <w:szCs w:val="16"/>
        </w:rPr>
        <w:t xml:space="preserve"> &lt;</w:t>
      </w:r>
      <w:hyperlink r:id="rId11" w:history="1">
        <w:r w:rsidRPr="00885DB4">
          <w:rPr>
            <w:rFonts w:ascii="Arial" w:eastAsia="Times New Roman" w:hAnsi="Arial" w:cs="Arial"/>
            <w:color w:val="3366CC"/>
            <w:sz w:val="16"/>
            <w:szCs w:val="16"/>
            <w:u w:val="single"/>
          </w:rPr>
          <w:t>http://www12.statcan.ca/english/census01/teacher%27s_kit/activity10_map.cfm</w:t>
        </w:r>
      </w:hyperlink>
      <w:r w:rsidRPr="00885DB4">
        <w:rPr>
          <w:rFonts w:ascii="Arial" w:eastAsia="Times New Roman" w:hAnsi="Arial" w:cs="Arial"/>
          <w:sz w:val="16"/>
          <w:szCs w:val="16"/>
        </w:rPr>
        <w:t>&gt;. 2 June 2009</w:t>
      </w:r>
    </w:p>
    <w:p w:rsidR="005D1AA6" w:rsidRPr="00885DB4" w:rsidRDefault="005D1AA6" w:rsidP="005D1AA6">
      <w:pPr>
        <w:spacing w:before="100" w:beforeAutospacing="1" w:after="100" w:afterAutospacing="1" w:line="240" w:lineRule="auto"/>
        <w:rPr>
          <w:rFonts w:ascii="Arial" w:eastAsia="Times New Roman" w:hAnsi="Arial" w:cs="Arial"/>
        </w:rPr>
      </w:pPr>
      <w:r w:rsidRPr="00885DB4">
        <w:rPr>
          <w:rFonts w:ascii="Arial" w:eastAsia="Times New Roman" w:hAnsi="Arial" w:cs="Arial"/>
        </w:rPr>
        <w:t xml:space="preserve">The following chart shows data relating to the </w:t>
      </w:r>
      <w:r w:rsidR="00E565BC" w:rsidRPr="00885DB4">
        <w:rPr>
          <w:rFonts w:ascii="Arial" w:eastAsia="Times New Roman" w:hAnsi="Arial" w:cs="Arial"/>
        </w:rPr>
        <w:t>various</w:t>
      </w:r>
      <w:r w:rsidRPr="00885DB4">
        <w:rPr>
          <w:rFonts w:ascii="Arial" w:eastAsia="Times New Roman" w:hAnsi="Arial" w:cs="Arial"/>
        </w:rPr>
        <w:t xml:space="preserve"> source areas of immigrants to Canada, which you have just seen on the map, </w:t>
      </w:r>
      <w:r w:rsidR="00E565BC" w:rsidRPr="00885DB4">
        <w:rPr>
          <w:rFonts w:ascii="Arial" w:eastAsia="Times New Roman" w:hAnsi="Arial" w:cs="Arial"/>
        </w:rPr>
        <w:t>during</w:t>
      </w:r>
      <w:r w:rsidRPr="00885DB4">
        <w:rPr>
          <w:rFonts w:ascii="Arial" w:eastAsia="Times New Roman" w:hAnsi="Arial" w:cs="Arial"/>
        </w:rPr>
        <w:t xml:space="preserve"> six time periods. </w:t>
      </w:r>
    </w:p>
    <w:tbl>
      <w:tblPr>
        <w:tblW w:w="4898" w:type="pct"/>
        <w:tblCellSpacing w:w="15"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642"/>
        <w:gridCol w:w="1168"/>
        <w:gridCol w:w="1170"/>
        <w:gridCol w:w="1170"/>
        <w:gridCol w:w="1260"/>
        <w:gridCol w:w="1260"/>
        <w:gridCol w:w="1439"/>
      </w:tblGrid>
      <w:tr w:rsidR="00510AEC" w:rsidRPr="00CF2C7E" w:rsidTr="00510AEC">
        <w:trPr>
          <w:tblCellSpacing w:w="15" w:type="dxa"/>
        </w:trPr>
        <w:tc>
          <w:tcPr>
            <w:tcW w:w="1284" w:type="pct"/>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b/>
              </w:rPr>
            </w:pPr>
            <w:r w:rsidRPr="00CF2C7E">
              <w:rPr>
                <w:rFonts w:ascii="Arial" w:eastAsia="Times New Roman" w:hAnsi="Arial" w:cs="Arial"/>
                <w:b/>
              </w:rPr>
              <w:t> Place of Birth</w:t>
            </w:r>
          </w:p>
        </w:tc>
        <w:tc>
          <w:tcPr>
            <w:tcW w:w="563" w:type="pct"/>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b/>
              </w:rPr>
            </w:pPr>
            <w:r w:rsidRPr="00CF2C7E">
              <w:rPr>
                <w:rFonts w:ascii="Arial" w:eastAsia="Times New Roman" w:hAnsi="Arial" w:cs="Arial"/>
                <w:b/>
              </w:rPr>
              <w:t>Total</w:t>
            </w:r>
          </w:p>
        </w:tc>
        <w:tc>
          <w:tcPr>
            <w:tcW w:w="564" w:type="pct"/>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after="0" w:line="240" w:lineRule="auto"/>
              <w:rPr>
                <w:rFonts w:ascii="Arial" w:eastAsia="Times New Roman" w:hAnsi="Arial" w:cs="Arial"/>
                <w:b/>
              </w:rPr>
            </w:pPr>
            <w:r w:rsidRPr="00CF2C7E">
              <w:rPr>
                <w:rFonts w:ascii="Arial" w:eastAsia="Times New Roman" w:hAnsi="Arial" w:cs="Arial"/>
                <w:b/>
              </w:rPr>
              <w:t>pre-1961</w:t>
            </w:r>
          </w:p>
        </w:tc>
        <w:tc>
          <w:tcPr>
            <w:tcW w:w="564" w:type="pct"/>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after="0" w:line="240" w:lineRule="auto"/>
              <w:rPr>
                <w:rFonts w:ascii="Arial" w:eastAsia="Times New Roman" w:hAnsi="Arial" w:cs="Arial"/>
                <w:b/>
              </w:rPr>
            </w:pPr>
            <w:r w:rsidRPr="00CF2C7E">
              <w:rPr>
                <w:rFonts w:ascii="Arial" w:eastAsia="Times New Roman" w:hAnsi="Arial" w:cs="Arial"/>
                <w:b/>
              </w:rPr>
              <w:t>1961-1970</w:t>
            </w:r>
          </w:p>
        </w:tc>
        <w:tc>
          <w:tcPr>
            <w:tcW w:w="608" w:type="pct"/>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after="0" w:line="240" w:lineRule="auto"/>
              <w:rPr>
                <w:rFonts w:ascii="Arial" w:eastAsia="Times New Roman" w:hAnsi="Arial" w:cs="Arial"/>
                <w:b/>
              </w:rPr>
            </w:pPr>
            <w:r w:rsidRPr="00CF2C7E">
              <w:rPr>
                <w:rFonts w:ascii="Arial" w:eastAsia="Times New Roman" w:hAnsi="Arial" w:cs="Arial"/>
                <w:b/>
              </w:rPr>
              <w:t>1971-1980</w:t>
            </w:r>
          </w:p>
        </w:tc>
        <w:tc>
          <w:tcPr>
            <w:tcW w:w="608" w:type="pct"/>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after="0" w:line="240" w:lineRule="auto"/>
              <w:rPr>
                <w:rFonts w:ascii="Arial" w:eastAsia="Times New Roman" w:hAnsi="Arial" w:cs="Arial"/>
                <w:b/>
              </w:rPr>
            </w:pPr>
            <w:r w:rsidRPr="00CF2C7E">
              <w:rPr>
                <w:rFonts w:ascii="Arial" w:eastAsia="Times New Roman" w:hAnsi="Arial" w:cs="Arial"/>
                <w:b/>
              </w:rPr>
              <w:t>1981-1990</w:t>
            </w:r>
          </w:p>
        </w:tc>
        <w:tc>
          <w:tcPr>
            <w:tcW w:w="689" w:type="pct"/>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after="0" w:line="240" w:lineRule="auto"/>
              <w:rPr>
                <w:rFonts w:ascii="Arial" w:eastAsia="Times New Roman" w:hAnsi="Arial" w:cs="Arial"/>
                <w:b/>
              </w:rPr>
            </w:pPr>
            <w:r w:rsidRPr="00CF2C7E">
              <w:rPr>
                <w:rFonts w:ascii="Arial" w:eastAsia="Times New Roman" w:hAnsi="Arial" w:cs="Arial"/>
                <w:b/>
              </w:rPr>
              <w:t>1991-2001</w:t>
            </w:r>
          </w:p>
        </w:tc>
      </w:tr>
      <w:tr w:rsidR="00510AEC" w:rsidRPr="00CF2C7E" w:rsidTr="00510AEC">
        <w:trPr>
          <w:tblCellSpacing w:w="15" w:type="dxa"/>
        </w:trPr>
        <w:tc>
          <w:tcPr>
            <w:tcW w:w="1284" w:type="pct"/>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after="0" w:line="240" w:lineRule="auto"/>
              <w:rPr>
                <w:rFonts w:ascii="Arial" w:eastAsia="Times New Roman" w:hAnsi="Arial" w:cs="Arial"/>
              </w:rPr>
            </w:pPr>
            <w:r w:rsidRPr="00CF2C7E">
              <w:rPr>
                <w:rFonts w:ascii="Arial" w:eastAsia="Times New Roman" w:hAnsi="Arial" w:cs="Arial"/>
              </w:rPr>
              <w:t>1. United States</w:t>
            </w:r>
          </w:p>
        </w:tc>
        <w:tc>
          <w:tcPr>
            <w:tcW w:w="563" w:type="pct"/>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rPr>
            </w:pPr>
            <w:r w:rsidRPr="00CF2C7E">
              <w:rPr>
                <w:rFonts w:ascii="Arial" w:eastAsia="Times New Roman" w:hAnsi="Arial" w:cs="Arial"/>
              </w:rPr>
              <w:t>4,4</w:t>
            </w:r>
          </w:p>
        </w:tc>
        <w:tc>
          <w:tcPr>
            <w:tcW w:w="564" w:type="pct"/>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rPr>
            </w:pPr>
            <w:r w:rsidRPr="00CF2C7E">
              <w:rPr>
                <w:rFonts w:ascii="Arial" w:eastAsia="Times New Roman" w:hAnsi="Arial" w:cs="Arial"/>
              </w:rPr>
              <w:t>3,9</w:t>
            </w:r>
          </w:p>
        </w:tc>
        <w:tc>
          <w:tcPr>
            <w:tcW w:w="564" w:type="pct"/>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rPr>
            </w:pPr>
            <w:r w:rsidRPr="00CF2C7E">
              <w:rPr>
                <w:rFonts w:ascii="Arial" w:eastAsia="Times New Roman" w:hAnsi="Arial" w:cs="Arial"/>
              </w:rPr>
              <w:t>6,3</w:t>
            </w:r>
          </w:p>
        </w:tc>
        <w:tc>
          <w:tcPr>
            <w:tcW w:w="608" w:type="pct"/>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rPr>
            </w:pPr>
            <w:r w:rsidRPr="00CF2C7E">
              <w:rPr>
                <w:rFonts w:ascii="Arial" w:eastAsia="Times New Roman" w:hAnsi="Arial" w:cs="Arial"/>
              </w:rPr>
              <w:t>6,7</w:t>
            </w:r>
          </w:p>
        </w:tc>
        <w:tc>
          <w:tcPr>
            <w:tcW w:w="608" w:type="pct"/>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rPr>
            </w:pPr>
            <w:r w:rsidRPr="00CF2C7E">
              <w:rPr>
                <w:rFonts w:ascii="Arial" w:eastAsia="Times New Roman" w:hAnsi="Arial" w:cs="Arial"/>
              </w:rPr>
              <w:t>4,0</w:t>
            </w:r>
          </w:p>
        </w:tc>
        <w:tc>
          <w:tcPr>
            <w:tcW w:w="689" w:type="pct"/>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rPr>
            </w:pPr>
            <w:r w:rsidRPr="00CF2C7E">
              <w:rPr>
                <w:rFonts w:ascii="Arial" w:eastAsia="Times New Roman" w:hAnsi="Arial" w:cs="Arial"/>
              </w:rPr>
              <w:t>2,8</w:t>
            </w:r>
          </w:p>
        </w:tc>
      </w:tr>
      <w:tr w:rsidR="00510AEC" w:rsidRPr="00CF2C7E" w:rsidTr="00510AEC">
        <w:trPr>
          <w:tblCellSpacing w:w="15" w:type="dxa"/>
        </w:trPr>
        <w:tc>
          <w:tcPr>
            <w:tcW w:w="1284" w:type="pct"/>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rPr>
                <w:rFonts w:ascii="Arial" w:eastAsia="Times New Roman" w:hAnsi="Arial" w:cs="Arial"/>
              </w:rPr>
            </w:pPr>
            <w:r w:rsidRPr="00CF2C7E">
              <w:rPr>
                <w:rFonts w:ascii="Arial" w:eastAsia="Times New Roman" w:hAnsi="Arial" w:cs="Arial"/>
              </w:rPr>
              <w:t>2. Europe</w:t>
            </w:r>
          </w:p>
        </w:tc>
        <w:tc>
          <w:tcPr>
            <w:tcW w:w="563" w:type="pct"/>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rPr>
            </w:pPr>
            <w:r w:rsidRPr="00CF2C7E">
              <w:rPr>
                <w:rFonts w:ascii="Arial" w:eastAsia="Times New Roman" w:hAnsi="Arial" w:cs="Arial"/>
              </w:rPr>
              <w:t>42,0</w:t>
            </w:r>
          </w:p>
        </w:tc>
        <w:tc>
          <w:tcPr>
            <w:tcW w:w="564" w:type="pct"/>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rPr>
            </w:pPr>
            <w:r w:rsidRPr="00CF2C7E">
              <w:rPr>
                <w:rFonts w:ascii="Arial" w:eastAsia="Times New Roman" w:hAnsi="Arial" w:cs="Arial"/>
              </w:rPr>
              <w:t>90,5</w:t>
            </w:r>
          </w:p>
        </w:tc>
        <w:tc>
          <w:tcPr>
            <w:tcW w:w="564" w:type="pct"/>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rPr>
            </w:pPr>
            <w:r w:rsidRPr="00CF2C7E">
              <w:rPr>
                <w:rFonts w:ascii="Arial" w:eastAsia="Times New Roman" w:hAnsi="Arial" w:cs="Arial"/>
              </w:rPr>
              <w:t>69,2</w:t>
            </w:r>
          </w:p>
        </w:tc>
        <w:tc>
          <w:tcPr>
            <w:tcW w:w="608" w:type="pct"/>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rPr>
            </w:pPr>
            <w:r w:rsidRPr="00CF2C7E">
              <w:rPr>
                <w:rFonts w:ascii="Arial" w:eastAsia="Times New Roman" w:hAnsi="Arial" w:cs="Arial"/>
              </w:rPr>
              <w:t>36,2</w:t>
            </w:r>
          </w:p>
        </w:tc>
        <w:tc>
          <w:tcPr>
            <w:tcW w:w="608" w:type="pct"/>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rPr>
            </w:pPr>
            <w:r w:rsidRPr="00CF2C7E">
              <w:rPr>
                <w:rFonts w:ascii="Arial" w:eastAsia="Times New Roman" w:hAnsi="Arial" w:cs="Arial"/>
              </w:rPr>
              <w:t>25,6</w:t>
            </w:r>
          </w:p>
        </w:tc>
        <w:tc>
          <w:tcPr>
            <w:tcW w:w="689" w:type="pct"/>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rPr>
            </w:pPr>
            <w:r w:rsidRPr="00CF2C7E">
              <w:rPr>
                <w:rFonts w:ascii="Arial" w:eastAsia="Times New Roman" w:hAnsi="Arial" w:cs="Arial"/>
              </w:rPr>
              <w:t>19,5</w:t>
            </w:r>
          </w:p>
        </w:tc>
      </w:tr>
      <w:tr w:rsidR="00510AEC" w:rsidRPr="00CF2C7E" w:rsidTr="00510AEC">
        <w:trPr>
          <w:tblCellSpacing w:w="15" w:type="dxa"/>
        </w:trPr>
        <w:tc>
          <w:tcPr>
            <w:tcW w:w="1284" w:type="pct"/>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rPr>
                <w:rFonts w:ascii="Arial" w:eastAsia="Times New Roman" w:hAnsi="Arial" w:cs="Arial"/>
              </w:rPr>
            </w:pPr>
            <w:r w:rsidRPr="00CF2C7E">
              <w:rPr>
                <w:rFonts w:ascii="Arial" w:eastAsia="Times New Roman" w:hAnsi="Arial" w:cs="Arial"/>
              </w:rPr>
              <w:t>3. Asia</w:t>
            </w:r>
          </w:p>
        </w:tc>
        <w:tc>
          <w:tcPr>
            <w:tcW w:w="563" w:type="pct"/>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rPr>
            </w:pPr>
            <w:r w:rsidRPr="00CF2C7E">
              <w:rPr>
                <w:rFonts w:ascii="Arial" w:eastAsia="Times New Roman" w:hAnsi="Arial" w:cs="Arial"/>
              </w:rPr>
              <w:t>36,5</w:t>
            </w:r>
          </w:p>
        </w:tc>
        <w:tc>
          <w:tcPr>
            <w:tcW w:w="564" w:type="pct"/>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rPr>
            </w:pPr>
            <w:r w:rsidRPr="00CF2C7E">
              <w:rPr>
                <w:rFonts w:ascii="Arial" w:eastAsia="Times New Roman" w:hAnsi="Arial" w:cs="Arial"/>
              </w:rPr>
              <w:t>3,2</w:t>
            </w:r>
          </w:p>
        </w:tc>
        <w:tc>
          <w:tcPr>
            <w:tcW w:w="564" w:type="pct"/>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rPr>
            </w:pPr>
            <w:r w:rsidRPr="00CF2C7E">
              <w:rPr>
                <w:rFonts w:ascii="Arial" w:eastAsia="Times New Roman" w:hAnsi="Arial" w:cs="Arial"/>
              </w:rPr>
              <w:t>12,1</w:t>
            </w:r>
          </w:p>
        </w:tc>
        <w:tc>
          <w:tcPr>
            <w:tcW w:w="608" w:type="pct"/>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rPr>
            </w:pPr>
            <w:r w:rsidRPr="00CF2C7E">
              <w:rPr>
                <w:rFonts w:ascii="Arial" w:eastAsia="Times New Roman" w:hAnsi="Arial" w:cs="Arial"/>
              </w:rPr>
              <w:t>33,3</w:t>
            </w:r>
          </w:p>
        </w:tc>
        <w:tc>
          <w:tcPr>
            <w:tcW w:w="608" w:type="pct"/>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rPr>
            </w:pPr>
            <w:r w:rsidRPr="00CF2C7E">
              <w:rPr>
                <w:rFonts w:ascii="Arial" w:eastAsia="Times New Roman" w:hAnsi="Arial" w:cs="Arial"/>
              </w:rPr>
              <w:t>47,2</w:t>
            </w:r>
          </w:p>
        </w:tc>
        <w:tc>
          <w:tcPr>
            <w:tcW w:w="689" w:type="pct"/>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rPr>
            </w:pPr>
            <w:r w:rsidRPr="00CF2C7E">
              <w:rPr>
                <w:rFonts w:ascii="Arial" w:eastAsia="Times New Roman" w:hAnsi="Arial" w:cs="Arial"/>
              </w:rPr>
              <w:t>58,2</w:t>
            </w:r>
          </w:p>
        </w:tc>
      </w:tr>
      <w:tr w:rsidR="00510AEC" w:rsidRPr="00CF2C7E" w:rsidTr="00510AEC">
        <w:trPr>
          <w:tblCellSpacing w:w="15" w:type="dxa"/>
        </w:trPr>
        <w:tc>
          <w:tcPr>
            <w:tcW w:w="1284" w:type="pct"/>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rPr>
                <w:rFonts w:ascii="Arial" w:eastAsia="Times New Roman" w:hAnsi="Arial" w:cs="Arial"/>
              </w:rPr>
            </w:pPr>
            <w:r w:rsidRPr="00CF2C7E">
              <w:rPr>
                <w:rFonts w:ascii="Arial" w:eastAsia="Times New Roman" w:hAnsi="Arial" w:cs="Arial"/>
              </w:rPr>
              <w:t>4. Africa</w:t>
            </w:r>
          </w:p>
        </w:tc>
        <w:tc>
          <w:tcPr>
            <w:tcW w:w="563" w:type="pct"/>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rPr>
            </w:pPr>
            <w:r w:rsidRPr="00CF2C7E">
              <w:rPr>
                <w:rFonts w:ascii="Arial" w:eastAsia="Times New Roman" w:hAnsi="Arial" w:cs="Arial"/>
              </w:rPr>
              <w:t>5,2</w:t>
            </w:r>
          </w:p>
        </w:tc>
        <w:tc>
          <w:tcPr>
            <w:tcW w:w="564" w:type="pct"/>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rPr>
            </w:pPr>
            <w:r w:rsidRPr="00CF2C7E">
              <w:rPr>
                <w:rFonts w:ascii="Arial" w:eastAsia="Times New Roman" w:hAnsi="Arial" w:cs="Arial"/>
              </w:rPr>
              <w:t>0,5</w:t>
            </w:r>
          </w:p>
        </w:tc>
        <w:tc>
          <w:tcPr>
            <w:tcW w:w="564" w:type="pct"/>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rPr>
            </w:pPr>
            <w:r w:rsidRPr="00CF2C7E">
              <w:rPr>
                <w:rFonts w:ascii="Arial" w:eastAsia="Times New Roman" w:hAnsi="Arial" w:cs="Arial"/>
              </w:rPr>
              <w:t>3,2</w:t>
            </w:r>
          </w:p>
        </w:tc>
        <w:tc>
          <w:tcPr>
            <w:tcW w:w="608" w:type="pct"/>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rPr>
            </w:pPr>
            <w:r w:rsidRPr="00CF2C7E">
              <w:rPr>
                <w:rFonts w:ascii="Arial" w:eastAsia="Times New Roman" w:hAnsi="Arial" w:cs="Arial"/>
              </w:rPr>
              <w:t>5,8</w:t>
            </w:r>
          </w:p>
        </w:tc>
        <w:tc>
          <w:tcPr>
            <w:tcW w:w="608" w:type="pct"/>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rPr>
            </w:pPr>
            <w:r w:rsidRPr="00CF2C7E">
              <w:rPr>
                <w:rFonts w:ascii="Arial" w:eastAsia="Times New Roman" w:hAnsi="Arial" w:cs="Arial"/>
              </w:rPr>
              <w:t>5,7</w:t>
            </w:r>
          </w:p>
        </w:tc>
        <w:tc>
          <w:tcPr>
            <w:tcW w:w="689" w:type="pct"/>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rPr>
            </w:pPr>
            <w:r w:rsidRPr="00CF2C7E">
              <w:rPr>
                <w:rFonts w:ascii="Arial" w:eastAsia="Times New Roman" w:hAnsi="Arial" w:cs="Arial"/>
              </w:rPr>
              <w:t>7,6</w:t>
            </w:r>
          </w:p>
        </w:tc>
      </w:tr>
      <w:tr w:rsidR="00510AEC" w:rsidRPr="00CF2C7E" w:rsidTr="00510AEC">
        <w:trPr>
          <w:tblCellSpacing w:w="15" w:type="dxa"/>
        </w:trPr>
        <w:tc>
          <w:tcPr>
            <w:tcW w:w="1284" w:type="pct"/>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rPr>
                <w:rFonts w:ascii="Arial" w:eastAsia="Times New Roman" w:hAnsi="Arial" w:cs="Arial"/>
              </w:rPr>
            </w:pPr>
            <w:r w:rsidRPr="00CF2C7E">
              <w:rPr>
                <w:rFonts w:ascii="Arial" w:eastAsia="Times New Roman" w:hAnsi="Arial" w:cs="Arial"/>
              </w:rPr>
              <w:t>5. Caribbean, Central and South America</w:t>
            </w:r>
          </w:p>
        </w:tc>
        <w:tc>
          <w:tcPr>
            <w:tcW w:w="563" w:type="pct"/>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rPr>
            </w:pPr>
            <w:r w:rsidRPr="00CF2C7E">
              <w:rPr>
                <w:rFonts w:ascii="Arial" w:eastAsia="Times New Roman" w:hAnsi="Arial" w:cs="Arial"/>
              </w:rPr>
              <w:t>11,0</w:t>
            </w:r>
          </w:p>
        </w:tc>
        <w:tc>
          <w:tcPr>
            <w:tcW w:w="564" w:type="pct"/>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rPr>
            </w:pPr>
            <w:r w:rsidRPr="00CF2C7E">
              <w:rPr>
                <w:rFonts w:ascii="Arial" w:eastAsia="Times New Roman" w:hAnsi="Arial" w:cs="Arial"/>
              </w:rPr>
              <w:t>1,4</w:t>
            </w:r>
          </w:p>
        </w:tc>
        <w:tc>
          <w:tcPr>
            <w:tcW w:w="564" w:type="pct"/>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rPr>
            </w:pPr>
            <w:r w:rsidRPr="00CF2C7E">
              <w:rPr>
                <w:rFonts w:ascii="Arial" w:eastAsia="Times New Roman" w:hAnsi="Arial" w:cs="Arial"/>
              </w:rPr>
              <w:t>8,0</w:t>
            </w:r>
          </w:p>
        </w:tc>
        <w:tc>
          <w:tcPr>
            <w:tcW w:w="608" w:type="pct"/>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rPr>
            </w:pPr>
            <w:r w:rsidRPr="00CF2C7E">
              <w:rPr>
                <w:rFonts w:ascii="Arial" w:eastAsia="Times New Roman" w:hAnsi="Arial" w:cs="Arial"/>
              </w:rPr>
              <w:t>16,5</w:t>
            </w:r>
          </w:p>
        </w:tc>
        <w:tc>
          <w:tcPr>
            <w:tcW w:w="608" w:type="pct"/>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rPr>
            </w:pPr>
            <w:r w:rsidRPr="00CF2C7E">
              <w:rPr>
                <w:rFonts w:ascii="Arial" w:eastAsia="Times New Roman" w:hAnsi="Arial" w:cs="Arial"/>
              </w:rPr>
              <w:t>16,5</w:t>
            </w:r>
          </w:p>
        </w:tc>
        <w:tc>
          <w:tcPr>
            <w:tcW w:w="689" w:type="pct"/>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rPr>
            </w:pPr>
            <w:r w:rsidRPr="00CF2C7E">
              <w:rPr>
                <w:rFonts w:ascii="Arial" w:eastAsia="Times New Roman" w:hAnsi="Arial" w:cs="Arial"/>
              </w:rPr>
              <w:t>10,9</w:t>
            </w:r>
          </w:p>
        </w:tc>
      </w:tr>
      <w:tr w:rsidR="00510AEC" w:rsidRPr="00CF2C7E" w:rsidTr="00510AEC">
        <w:trPr>
          <w:tblCellSpacing w:w="15" w:type="dxa"/>
        </w:trPr>
        <w:tc>
          <w:tcPr>
            <w:tcW w:w="1284" w:type="pct"/>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rPr>
                <w:rFonts w:ascii="Arial" w:eastAsia="Times New Roman" w:hAnsi="Arial" w:cs="Arial"/>
              </w:rPr>
            </w:pPr>
            <w:r w:rsidRPr="00CF2C7E">
              <w:rPr>
                <w:rFonts w:ascii="Arial" w:eastAsia="Times New Roman" w:hAnsi="Arial" w:cs="Arial"/>
              </w:rPr>
              <w:t>6. Oceania and other countries</w:t>
            </w:r>
          </w:p>
        </w:tc>
        <w:tc>
          <w:tcPr>
            <w:tcW w:w="563" w:type="pct"/>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rPr>
            </w:pPr>
            <w:r w:rsidRPr="00CF2C7E">
              <w:rPr>
                <w:rFonts w:ascii="Arial" w:eastAsia="Times New Roman" w:hAnsi="Arial" w:cs="Arial"/>
              </w:rPr>
              <w:t>1,0</w:t>
            </w:r>
          </w:p>
        </w:tc>
        <w:tc>
          <w:tcPr>
            <w:tcW w:w="564" w:type="pct"/>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rPr>
            </w:pPr>
            <w:r w:rsidRPr="00CF2C7E">
              <w:rPr>
                <w:rFonts w:ascii="Arial" w:eastAsia="Times New Roman" w:hAnsi="Arial" w:cs="Arial"/>
              </w:rPr>
              <w:t>0,4</w:t>
            </w:r>
          </w:p>
        </w:tc>
        <w:tc>
          <w:tcPr>
            <w:tcW w:w="564" w:type="pct"/>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rPr>
            </w:pPr>
            <w:r w:rsidRPr="00CF2C7E">
              <w:rPr>
                <w:rFonts w:ascii="Arial" w:eastAsia="Times New Roman" w:hAnsi="Arial" w:cs="Arial"/>
              </w:rPr>
              <w:t>1,2</w:t>
            </w:r>
          </w:p>
        </w:tc>
        <w:tc>
          <w:tcPr>
            <w:tcW w:w="608" w:type="pct"/>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rPr>
            </w:pPr>
            <w:r w:rsidRPr="00CF2C7E">
              <w:rPr>
                <w:rFonts w:ascii="Arial" w:eastAsia="Times New Roman" w:hAnsi="Arial" w:cs="Arial"/>
              </w:rPr>
              <w:t>1,5</w:t>
            </w:r>
          </w:p>
        </w:tc>
        <w:tc>
          <w:tcPr>
            <w:tcW w:w="608" w:type="pct"/>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rPr>
            </w:pPr>
            <w:r w:rsidRPr="00CF2C7E">
              <w:rPr>
                <w:rFonts w:ascii="Arial" w:eastAsia="Times New Roman" w:hAnsi="Arial" w:cs="Arial"/>
              </w:rPr>
              <w:t>1,0</w:t>
            </w:r>
          </w:p>
        </w:tc>
        <w:tc>
          <w:tcPr>
            <w:tcW w:w="689" w:type="pct"/>
            <w:tcBorders>
              <w:top w:val="outset" w:sz="6" w:space="0" w:color="auto"/>
              <w:left w:val="outset" w:sz="6" w:space="0" w:color="auto"/>
              <w:bottom w:val="outset" w:sz="6" w:space="0" w:color="auto"/>
              <w:right w:val="outset" w:sz="6" w:space="0" w:color="auto"/>
            </w:tcBorders>
            <w:vAlign w:val="center"/>
            <w:hideMark/>
          </w:tcPr>
          <w:p w:rsidR="005D1AA6" w:rsidRPr="00CF2C7E" w:rsidRDefault="005D1AA6" w:rsidP="005D1AA6">
            <w:pPr>
              <w:spacing w:before="100" w:beforeAutospacing="1" w:after="100" w:afterAutospacing="1" w:line="240" w:lineRule="auto"/>
              <w:jc w:val="center"/>
              <w:rPr>
                <w:rFonts w:ascii="Arial" w:eastAsia="Times New Roman" w:hAnsi="Arial" w:cs="Arial"/>
              </w:rPr>
            </w:pPr>
            <w:r w:rsidRPr="00CF2C7E">
              <w:rPr>
                <w:rFonts w:ascii="Arial" w:eastAsia="Times New Roman" w:hAnsi="Arial" w:cs="Arial"/>
              </w:rPr>
              <w:t>0,8</w:t>
            </w:r>
          </w:p>
        </w:tc>
      </w:tr>
    </w:tbl>
    <w:p w:rsidR="005D1AA6" w:rsidRPr="00885DB4" w:rsidRDefault="005D1AA6" w:rsidP="005D1AA6">
      <w:pPr>
        <w:spacing w:before="100" w:beforeAutospacing="1" w:after="100" w:afterAutospacing="1" w:line="240" w:lineRule="auto"/>
        <w:rPr>
          <w:rFonts w:ascii="Arial" w:eastAsia="Times New Roman" w:hAnsi="Arial" w:cs="Arial"/>
          <w:sz w:val="16"/>
          <w:szCs w:val="16"/>
        </w:rPr>
      </w:pPr>
      <w:r w:rsidRPr="00885DB4">
        <w:rPr>
          <w:rFonts w:ascii="Arial" w:eastAsia="Times New Roman" w:hAnsi="Arial" w:cs="Arial"/>
          <w:sz w:val="16"/>
          <w:szCs w:val="16"/>
        </w:rPr>
        <w:t xml:space="preserve">Adapted from </w:t>
      </w:r>
      <w:r w:rsidRPr="00885DB4">
        <w:rPr>
          <w:rFonts w:ascii="Arial" w:eastAsia="Times New Roman" w:hAnsi="Arial" w:cs="Arial"/>
          <w:i/>
          <w:iCs/>
          <w:sz w:val="16"/>
          <w:szCs w:val="16"/>
        </w:rPr>
        <w:t>Statistics Canada &lt;</w:t>
      </w:r>
      <w:hyperlink r:id="rId12" w:history="1">
        <w:r w:rsidRPr="00885DB4">
          <w:rPr>
            <w:rFonts w:ascii="Arial" w:eastAsia="Times New Roman" w:hAnsi="Arial" w:cs="Arial"/>
            <w:color w:val="3366CC"/>
            <w:sz w:val="16"/>
            <w:szCs w:val="16"/>
            <w:u w:val="single"/>
          </w:rPr>
          <w:t>http://www12.statcan.ca/english/census01/teacher%27s_kit/activity10_table2.cfm</w:t>
        </w:r>
      </w:hyperlink>
      <w:r w:rsidRPr="00885DB4">
        <w:rPr>
          <w:rFonts w:ascii="Arial" w:eastAsia="Times New Roman" w:hAnsi="Arial" w:cs="Arial"/>
          <w:sz w:val="16"/>
          <w:szCs w:val="16"/>
        </w:rPr>
        <w:t xml:space="preserve">&gt;. 2 June 2009. </w:t>
      </w:r>
    </w:p>
    <w:p w:rsidR="00E565BC" w:rsidRPr="00885DB4" w:rsidRDefault="005D1AA6" w:rsidP="00E565BC">
      <w:pPr>
        <w:spacing w:before="100" w:beforeAutospacing="1" w:after="100" w:afterAutospacing="1" w:line="240" w:lineRule="auto"/>
        <w:rPr>
          <w:rFonts w:ascii="Arial" w:eastAsia="Times New Roman" w:hAnsi="Arial" w:cs="Arial"/>
        </w:rPr>
      </w:pPr>
      <w:r w:rsidRPr="00CF2C7E">
        <w:rPr>
          <w:rFonts w:ascii="Arial" w:eastAsia="Times New Roman" w:hAnsi="Arial" w:cs="Arial"/>
          <w:sz w:val="24"/>
          <w:szCs w:val="24"/>
        </w:rPr>
        <w:lastRenderedPageBreak/>
        <w:t> </w:t>
      </w:r>
      <w:r w:rsidRPr="00885DB4">
        <w:rPr>
          <w:rFonts w:ascii="Arial" w:eastAsia="Times New Roman" w:hAnsi="Arial" w:cs="Arial"/>
          <w:b/>
        </w:rPr>
        <w:t xml:space="preserve">Use the data from the </w:t>
      </w:r>
      <w:r w:rsidR="009B1E41" w:rsidRPr="00885DB4">
        <w:rPr>
          <w:rFonts w:ascii="Arial" w:eastAsia="Times New Roman" w:hAnsi="Arial" w:cs="Arial"/>
          <w:b/>
        </w:rPr>
        <w:t xml:space="preserve">above </w:t>
      </w:r>
      <w:r w:rsidRPr="00885DB4">
        <w:rPr>
          <w:rFonts w:ascii="Arial" w:eastAsia="Times New Roman" w:hAnsi="Arial" w:cs="Arial"/>
          <w:b/>
        </w:rPr>
        <w:t>chart to complete the following graph.</w:t>
      </w:r>
      <w:r w:rsidRPr="00885DB4">
        <w:rPr>
          <w:rFonts w:ascii="Arial" w:eastAsia="Times New Roman" w:hAnsi="Arial" w:cs="Arial"/>
        </w:rPr>
        <w:t xml:space="preserve"> </w:t>
      </w:r>
      <w:r w:rsidR="00E565BC" w:rsidRPr="00885DB4">
        <w:rPr>
          <w:rFonts w:ascii="Arial" w:eastAsia="Times New Roman" w:hAnsi="Arial" w:cs="Arial"/>
        </w:rPr>
        <w:t xml:space="preserve">The stacked column on the following graph shows the places of birth of all the people who have ever immigrated to Canada. </w:t>
      </w:r>
    </w:p>
    <w:p w:rsidR="00E565BC" w:rsidRPr="00885DB4" w:rsidRDefault="00E565BC" w:rsidP="00E565BC">
      <w:pPr>
        <w:spacing w:before="100" w:beforeAutospacing="1" w:after="100" w:afterAutospacing="1" w:line="240" w:lineRule="auto"/>
        <w:rPr>
          <w:rFonts w:ascii="Arial" w:eastAsia="Times New Roman" w:hAnsi="Arial" w:cs="Arial"/>
        </w:rPr>
      </w:pPr>
      <w:r w:rsidRPr="00885DB4">
        <w:rPr>
          <w:rFonts w:ascii="Arial" w:eastAsia="Times New Roman" w:hAnsi="Arial" w:cs="Arial"/>
        </w:rPr>
        <w:t>Colour the various segments of the graph</w:t>
      </w:r>
      <w:r w:rsidR="00CF2C7E" w:rsidRPr="00885DB4">
        <w:rPr>
          <w:rFonts w:ascii="Arial" w:eastAsia="Times New Roman" w:hAnsi="Arial" w:cs="Arial"/>
        </w:rPr>
        <w:t xml:space="preserve">.  </w:t>
      </w:r>
      <w:r w:rsidRPr="00885DB4">
        <w:rPr>
          <w:rFonts w:ascii="Arial" w:eastAsia="Times New Roman" w:hAnsi="Arial" w:cs="Arial"/>
        </w:rPr>
        <w:t xml:space="preserve">Use the same colours used in the world map: </w:t>
      </w:r>
      <w:r w:rsidRPr="00885DB4">
        <w:rPr>
          <w:rFonts w:ascii="Arial" w:eastAsia="Times New Roman" w:hAnsi="Arial" w:cs="Arial"/>
          <w:b/>
          <w:color w:val="FF0000"/>
        </w:rPr>
        <w:t>red</w:t>
      </w:r>
      <w:r w:rsidRPr="00885DB4">
        <w:rPr>
          <w:rFonts w:ascii="Arial" w:eastAsia="Times New Roman" w:hAnsi="Arial" w:cs="Arial"/>
        </w:rPr>
        <w:t xml:space="preserve"> for United States; </w:t>
      </w:r>
      <w:r w:rsidRPr="00885DB4">
        <w:rPr>
          <w:rFonts w:ascii="Arial" w:eastAsia="Times New Roman" w:hAnsi="Arial" w:cs="Arial"/>
          <w:b/>
          <w:color w:val="FFCC00"/>
        </w:rPr>
        <w:t>yellow</w:t>
      </w:r>
      <w:r w:rsidRPr="00885DB4">
        <w:rPr>
          <w:rFonts w:ascii="Arial" w:eastAsia="Times New Roman" w:hAnsi="Arial" w:cs="Arial"/>
        </w:rPr>
        <w:t xml:space="preserve"> for Caribbean, Central and South America; </w:t>
      </w:r>
      <w:r w:rsidRPr="00885DB4">
        <w:rPr>
          <w:rFonts w:ascii="Arial" w:eastAsia="Times New Roman" w:hAnsi="Arial" w:cs="Arial"/>
          <w:b/>
          <w:color w:val="7030A0"/>
        </w:rPr>
        <w:t>purple</w:t>
      </w:r>
      <w:r w:rsidRPr="00885DB4">
        <w:rPr>
          <w:rFonts w:ascii="Arial" w:eastAsia="Times New Roman" w:hAnsi="Arial" w:cs="Arial"/>
        </w:rPr>
        <w:t xml:space="preserve"> for Europe; </w:t>
      </w:r>
      <w:r w:rsidRPr="00885DB4">
        <w:rPr>
          <w:rFonts w:ascii="Arial" w:eastAsia="Times New Roman" w:hAnsi="Arial" w:cs="Arial"/>
          <w:b/>
          <w:color w:val="E36C0A"/>
        </w:rPr>
        <w:t>orange</w:t>
      </w:r>
      <w:r w:rsidRPr="00885DB4">
        <w:rPr>
          <w:rFonts w:ascii="Arial" w:eastAsia="Times New Roman" w:hAnsi="Arial" w:cs="Arial"/>
        </w:rPr>
        <w:t xml:space="preserve"> for Africa; </w:t>
      </w:r>
      <w:r w:rsidRPr="00885DB4">
        <w:rPr>
          <w:rFonts w:ascii="Arial" w:eastAsia="Times New Roman" w:hAnsi="Arial" w:cs="Arial"/>
          <w:b/>
          <w:color w:val="00B050"/>
        </w:rPr>
        <w:t>green</w:t>
      </w:r>
      <w:r w:rsidRPr="00885DB4">
        <w:rPr>
          <w:rFonts w:ascii="Arial" w:eastAsia="Times New Roman" w:hAnsi="Arial" w:cs="Arial"/>
        </w:rPr>
        <w:t xml:space="preserve"> for Asia; and </w:t>
      </w:r>
      <w:r w:rsidRPr="00885DB4">
        <w:rPr>
          <w:rFonts w:ascii="Arial" w:eastAsia="Times New Roman" w:hAnsi="Arial" w:cs="Arial"/>
          <w:b/>
          <w:color w:val="943634"/>
        </w:rPr>
        <w:t>brown</w:t>
      </w:r>
      <w:r w:rsidRPr="00885DB4">
        <w:rPr>
          <w:rFonts w:ascii="Arial" w:eastAsia="Times New Roman" w:hAnsi="Arial" w:cs="Arial"/>
        </w:rPr>
        <w:t xml:space="preserve"> for Oceania and other countries</w:t>
      </w:r>
      <w:r w:rsidR="00CF2C7E" w:rsidRPr="00885DB4">
        <w:rPr>
          <w:rFonts w:ascii="Arial" w:eastAsia="Times New Roman" w:hAnsi="Arial" w:cs="Arial"/>
        </w:rPr>
        <w:t xml:space="preserve">.  </w:t>
      </w:r>
      <w:r w:rsidRPr="00885DB4">
        <w:rPr>
          <w:rFonts w:ascii="Arial" w:eastAsia="Times New Roman" w:hAnsi="Arial" w:cs="Arial"/>
        </w:rPr>
        <w:t xml:space="preserve">This column will serve as the legend for the rest of the graph. </w:t>
      </w:r>
    </w:p>
    <w:p w:rsidR="00E565BC" w:rsidRPr="00885DB4" w:rsidRDefault="00E565BC" w:rsidP="00E565BC">
      <w:pPr>
        <w:spacing w:before="100" w:beforeAutospacing="1" w:after="100" w:afterAutospacing="1" w:line="240" w:lineRule="auto"/>
        <w:rPr>
          <w:rFonts w:ascii="Arial" w:eastAsia="Times New Roman" w:hAnsi="Arial" w:cs="Arial"/>
        </w:rPr>
      </w:pPr>
      <w:r w:rsidRPr="00885DB4">
        <w:rPr>
          <w:rFonts w:ascii="Arial" w:eastAsia="Times New Roman" w:hAnsi="Arial" w:cs="Arial"/>
        </w:rPr>
        <w:t xml:space="preserve">Now, again using the data in the chart above, construct the next </w:t>
      </w:r>
      <w:r w:rsidRPr="00885DB4">
        <w:rPr>
          <w:rFonts w:ascii="Arial" w:eastAsia="Times New Roman" w:hAnsi="Arial" w:cs="Arial"/>
          <w:b/>
        </w:rPr>
        <w:t>five</w:t>
      </w:r>
      <w:r w:rsidRPr="00885DB4">
        <w:rPr>
          <w:rFonts w:ascii="Arial" w:eastAsia="Times New Roman" w:hAnsi="Arial" w:cs="Arial"/>
        </w:rPr>
        <w:t xml:space="preserve"> columns to show the trend for place of birth of each of the remaining time periods listed</w:t>
      </w:r>
      <w:r w:rsidR="00CF2C7E" w:rsidRPr="00885DB4">
        <w:rPr>
          <w:rFonts w:ascii="Arial" w:eastAsia="Times New Roman" w:hAnsi="Arial" w:cs="Arial"/>
        </w:rPr>
        <w:t xml:space="preserve">.  </w:t>
      </w:r>
      <w:r w:rsidRPr="00885DB4">
        <w:rPr>
          <w:rFonts w:ascii="Arial" w:eastAsia="Times New Roman" w:hAnsi="Arial" w:cs="Arial"/>
        </w:rPr>
        <w:t>Again, colour the segments of the columns according to the legend you have just created</w:t>
      </w:r>
      <w:r w:rsidR="00CF2C7E" w:rsidRPr="00885DB4">
        <w:rPr>
          <w:rFonts w:ascii="Arial" w:eastAsia="Times New Roman" w:hAnsi="Arial" w:cs="Arial"/>
        </w:rPr>
        <w:t xml:space="preserve">.  </w:t>
      </w:r>
      <w:r w:rsidRPr="00885DB4">
        <w:rPr>
          <w:rFonts w:ascii="Arial" w:eastAsia="Times New Roman" w:hAnsi="Arial" w:cs="Arial"/>
        </w:rPr>
        <w:t xml:space="preserve">You do not have to include numbers in the segments of your columns. </w:t>
      </w:r>
    </w:p>
    <w:p w:rsidR="00E565BC" w:rsidRDefault="00E565BC" w:rsidP="00E565BC">
      <w:pPr>
        <w:spacing w:before="100" w:beforeAutospacing="1" w:after="100" w:afterAutospacing="1" w:line="240" w:lineRule="auto"/>
        <w:rPr>
          <w:rFonts w:ascii="Arial" w:eastAsia="Times New Roman" w:hAnsi="Arial" w:cs="Arial"/>
        </w:rPr>
      </w:pPr>
      <w:r w:rsidRPr="00885DB4">
        <w:rPr>
          <w:rFonts w:ascii="Arial" w:eastAsia="Times New Roman" w:hAnsi="Arial" w:cs="Arial"/>
        </w:rPr>
        <w:t>After you have finished your graph, take note of how the proportions of immigrants from the various areas have fluctuated over time.</w:t>
      </w:r>
    </w:p>
    <w:p w:rsidR="00B47BEF" w:rsidRDefault="00B47BEF" w:rsidP="00B47BEF">
      <w:pPr>
        <w:spacing w:before="100" w:beforeAutospacing="1" w:after="100" w:afterAutospacing="1" w:line="240" w:lineRule="auto"/>
        <w:jc w:val="center"/>
        <w:rPr>
          <w:rFonts w:ascii="Arial" w:eastAsia="Times New Roman" w:hAnsi="Arial" w:cs="Arial"/>
          <w:b/>
          <w:sz w:val="24"/>
          <w:szCs w:val="24"/>
        </w:rPr>
      </w:pPr>
      <w:r w:rsidRPr="00B47BEF">
        <w:rPr>
          <w:rFonts w:ascii="Arial" w:eastAsia="Times New Roman" w:hAnsi="Arial" w:cs="Arial"/>
          <w:b/>
          <w:sz w:val="24"/>
          <w:szCs w:val="24"/>
        </w:rPr>
        <w:t>Immigrant population by place of birth and period of immigration</w:t>
      </w:r>
    </w:p>
    <w:p w:rsidR="005B5FAB" w:rsidRPr="00B47BEF" w:rsidRDefault="008C7879" w:rsidP="00B47BEF">
      <w:pPr>
        <w:spacing w:before="100" w:beforeAutospacing="1" w:after="100" w:afterAutospacing="1" w:line="240" w:lineRule="auto"/>
        <w:jc w:val="center"/>
        <w:rPr>
          <w:rFonts w:ascii="Arial" w:eastAsia="Times New Roman" w:hAnsi="Arial" w:cs="Arial"/>
          <w:b/>
          <w:sz w:val="24"/>
          <w:szCs w:val="24"/>
        </w:rPr>
      </w:pPr>
      <w:r>
        <w:rPr>
          <w:noProof/>
          <w:lang w:eastAsia="en-CA"/>
        </w:rPr>
        <w:drawing>
          <wp:inline distT="0" distB="0" distL="0" distR="0">
            <wp:extent cx="6126480" cy="4053840"/>
            <wp:effectExtent l="0" t="0" r="0" b="0"/>
            <wp:docPr id="3"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47BEF" w:rsidRPr="00885DB4" w:rsidRDefault="00B47BEF" w:rsidP="00E565BC">
      <w:pPr>
        <w:spacing w:before="100" w:beforeAutospacing="1" w:after="100" w:afterAutospacing="1" w:line="240" w:lineRule="auto"/>
        <w:rPr>
          <w:rFonts w:ascii="Arial" w:eastAsia="Times New Roman" w:hAnsi="Arial" w:cs="Arial"/>
        </w:rPr>
      </w:pPr>
    </w:p>
    <w:p w:rsidR="005D1AA6" w:rsidRPr="00CF2C7E" w:rsidRDefault="005D1AA6" w:rsidP="005D1AA6">
      <w:pPr>
        <w:spacing w:before="100" w:beforeAutospacing="1" w:after="100" w:afterAutospacing="1" w:line="240" w:lineRule="auto"/>
        <w:rPr>
          <w:rFonts w:ascii="Arial" w:eastAsia="Times New Roman" w:hAnsi="Arial" w:cs="Arial"/>
          <w:sz w:val="24"/>
          <w:szCs w:val="24"/>
        </w:rPr>
      </w:pPr>
      <w:r w:rsidRPr="00CF2C7E">
        <w:rPr>
          <w:rFonts w:ascii="Arial" w:eastAsia="Times New Roman" w:hAnsi="Arial" w:cs="Arial"/>
          <w:sz w:val="24"/>
          <w:szCs w:val="24"/>
        </w:rPr>
        <w:t> </w:t>
      </w:r>
    </w:p>
    <w:p w:rsidR="005D1AA6" w:rsidRPr="00885DB4" w:rsidRDefault="005D1AA6" w:rsidP="005D1AA6">
      <w:pPr>
        <w:spacing w:before="100" w:beforeAutospacing="1" w:after="100" w:afterAutospacing="1" w:line="240" w:lineRule="auto"/>
        <w:rPr>
          <w:rFonts w:ascii="Arial" w:eastAsia="Times New Roman" w:hAnsi="Arial" w:cs="Arial"/>
          <w:sz w:val="16"/>
          <w:szCs w:val="16"/>
        </w:rPr>
      </w:pPr>
      <w:r w:rsidRPr="00885DB4">
        <w:rPr>
          <w:rFonts w:ascii="Arial" w:eastAsia="Times New Roman" w:hAnsi="Arial" w:cs="Arial"/>
          <w:sz w:val="16"/>
          <w:szCs w:val="16"/>
        </w:rPr>
        <w:t xml:space="preserve">Adapted from </w:t>
      </w:r>
      <w:r w:rsidRPr="00885DB4">
        <w:rPr>
          <w:rFonts w:ascii="Arial" w:eastAsia="Times New Roman" w:hAnsi="Arial" w:cs="Arial"/>
          <w:i/>
          <w:iCs/>
          <w:sz w:val="16"/>
          <w:szCs w:val="16"/>
        </w:rPr>
        <w:t>Statistics Canada &lt;</w:t>
      </w:r>
      <w:hyperlink r:id="rId14" w:history="1">
        <w:r w:rsidRPr="00885DB4">
          <w:rPr>
            <w:rFonts w:ascii="Arial" w:eastAsia="Times New Roman" w:hAnsi="Arial" w:cs="Arial"/>
            <w:color w:val="3366CC"/>
            <w:sz w:val="16"/>
            <w:szCs w:val="16"/>
            <w:u w:val="single"/>
          </w:rPr>
          <w:t>http://www12.statcan.ca/english/census01/teacher%27s_kit/activity10_chart2.cfm</w:t>
        </w:r>
      </w:hyperlink>
      <w:r w:rsidRPr="00885DB4">
        <w:rPr>
          <w:rFonts w:ascii="Arial" w:eastAsia="Times New Roman" w:hAnsi="Arial" w:cs="Arial"/>
          <w:sz w:val="16"/>
          <w:szCs w:val="16"/>
        </w:rPr>
        <w:t>&gt;. 2 June 2009.</w:t>
      </w:r>
    </w:p>
    <w:p w:rsidR="005D1AA6" w:rsidRPr="00885DB4" w:rsidRDefault="005D1AA6" w:rsidP="005B5FAB">
      <w:pPr>
        <w:tabs>
          <w:tab w:val="left" w:pos="5655"/>
        </w:tabs>
        <w:spacing w:before="100" w:beforeAutospacing="1" w:after="100" w:afterAutospacing="1" w:line="240" w:lineRule="auto"/>
        <w:rPr>
          <w:rFonts w:ascii="Arial" w:eastAsia="Times New Roman" w:hAnsi="Arial" w:cs="Arial"/>
          <w:sz w:val="26"/>
          <w:szCs w:val="26"/>
        </w:rPr>
      </w:pPr>
      <w:r w:rsidRPr="00CF2C7E">
        <w:rPr>
          <w:rFonts w:ascii="Arial" w:eastAsia="Times New Roman" w:hAnsi="Arial" w:cs="Arial"/>
          <w:sz w:val="24"/>
          <w:szCs w:val="24"/>
        </w:rPr>
        <w:lastRenderedPageBreak/>
        <w:t> </w:t>
      </w:r>
      <w:r w:rsidRPr="00885DB4">
        <w:rPr>
          <w:rFonts w:ascii="Arial" w:eastAsia="Times New Roman" w:hAnsi="Arial" w:cs="Arial"/>
          <w:b/>
          <w:bCs/>
          <w:sz w:val="26"/>
          <w:szCs w:val="26"/>
        </w:rPr>
        <w:t>Graph 3</w:t>
      </w:r>
    </w:p>
    <w:p w:rsidR="005D1AA6" w:rsidRPr="00885DB4" w:rsidRDefault="00CF2C7E" w:rsidP="005D1AA6">
      <w:pPr>
        <w:spacing w:before="100" w:beforeAutospacing="1" w:after="100" w:afterAutospacing="1" w:line="240" w:lineRule="auto"/>
        <w:rPr>
          <w:rFonts w:ascii="Arial" w:eastAsia="Times New Roman" w:hAnsi="Arial" w:cs="Arial"/>
          <w:b/>
        </w:rPr>
      </w:pPr>
      <w:r w:rsidRPr="00885DB4">
        <w:rPr>
          <w:rFonts w:ascii="Arial" w:eastAsia="Times New Roman" w:hAnsi="Arial" w:cs="Arial"/>
        </w:rPr>
        <w:t xml:space="preserve">Consider some more specific regions of Canada.  In the next two graphs, you will see that immigrants have tended towards certain provinces more than others.  The following graph, which has been completed for you, shows the specific figures for each province and territory.  Ontario leads with 26.8% of its residents having immigrated from other countries.  </w:t>
      </w:r>
      <w:r w:rsidR="005D1AA6" w:rsidRPr="00885DB4">
        <w:rPr>
          <w:rFonts w:ascii="Arial" w:eastAsia="Times New Roman" w:hAnsi="Arial" w:cs="Arial"/>
          <w:b/>
        </w:rPr>
        <w:t>What percentage of the total population of your province or territory represents immigrants to Canada?</w:t>
      </w:r>
    </w:p>
    <w:p w:rsidR="00790A71" w:rsidRPr="00CF2C7E" w:rsidRDefault="00790A71" w:rsidP="00790A71">
      <w:pPr>
        <w:spacing w:before="100" w:beforeAutospacing="1" w:after="100" w:afterAutospacing="1" w:line="240" w:lineRule="auto"/>
        <w:jc w:val="center"/>
        <w:rPr>
          <w:rFonts w:ascii="Arial" w:eastAsia="Times New Roman" w:hAnsi="Arial" w:cs="Arial"/>
          <w:sz w:val="24"/>
          <w:szCs w:val="24"/>
        </w:rPr>
      </w:pPr>
      <w:r w:rsidRPr="00790A71">
        <w:rPr>
          <w:rFonts w:ascii="Arial" w:eastAsia="Times New Roman" w:hAnsi="Arial" w:cs="Arial"/>
          <w:b/>
          <w:sz w:val="26"/>
          <w:szCs w:val="26"/>
        </w:rPr>
        <w:t xml:space="preserve">Immigrants as a percentage of total provincial population, 2001 </w:t>
      </w:r>
      <w:r w:rsidR="008C7879">
        <w:rPr>
          <w:noProof/>
          <w:lang w:eastAsia="en-CA"/>
        </w:rPr>
        <w:drawing>
          <wp:inline distT="0" distB="0" distL="0" distR="0">
            <wp:extent cx="5943600" cy="3528060"/>
            <wp:effectExtent l="0" t="0" r="0" b="0"/>
            <wp:docPr id="4"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D1AA6" w:rsidRPr="00885DB4" w:rsidRDefault="00790A71" w:rsidP="005D1AA6">
      <w:pPr>
        <w:spacing w:before="100" w:beforeAutospacing="1" w:after="100" w:afterAutospacing="1" w:line="240" w:lineRule="auto"/>
        <w:rPr>
          <w:rFonts w:ascii="Arial" w:eastAsia="Times New Roman" w:hAnsi="Arial" w:cs="Arial"/>
          <w:sz w:val="16"/>
          <w:szCs w:val="16"/>
        </w:rPr>
      </w:pPr>
      <w:r w:rsidRPr="00885DB4">
        <w:rPr>
          <w:rFonts w:ascii="Arial" w:eastAsia="Times New Roman" w:hAnsi="Arial" w:cs="Arial"/>
          <w:sz w:val="16"/>
          <w:szCs w:val="16"/>
        </w:rPr>
        <w:t>S</w:t>
      </w:r>
      <w:r w:rsidR="005D1AA6" w:rsidRPr="00885DB4">
        <w:rPr>
          <w:rFonts w:ascii="Arial" w:eastAsia="Times New Roman" w:hAnsi="Arial" w:cs="Arial"/>
          <w:sz w:val="16"/>
          <w:szCs w:val="16"/>
        </w:rPr>
        <w:t xml:space="preserve">ource: </w:t>
      </w:r>
      <w:r w:rsidR="005D1AA6" w:rsidRPr="00885DB4">
        <w:rPr>
          <w:rFonts w:ascii="Arial" w:eastAsia="Times New Roman" w:hAnsi="Arial" w:cs="Arial"/>
          <w:i/>
          <w:iCs/>
          <w:sz w:val="16"/>
          <w:szCs w:val="16"/>
        </w:rPr>
        <w:t>Statistics Canada &lt;</w:t>
      </w:r>
      <w:hyperlink r:id="rId16" w:history="1">
        <w:r w:rsidR="005D1AA6" w:rsidRPr="00885DB4">
          <w:rPr>
            <w:rFonts w:ascii="Arial" w:eastAsia="Times New Roman" w:hAnsi="Arial" w:cs="Arial"/>
            <w:color w:val="3366CC"/>
            <w:sz w:val="16"/>
            <w:szCs w:val="16"/>
            <w:u w:val="single"/>
          </w:rPr>
          <w:t>http://www12.statcan.ca/english/census01/teacher%27s_kit/activity10_chart3.cfm</w:t>
        </w:r>
      </w:hyperlink>
      <w:r w:rsidR="005D1AA6" w:rsidRPr="00885DB4">
        <w:rPr>
          <w:rFonts w:ascii="Arial" w:eastAsia="Times New Roman" w:hAnsi="Arial" w:cs="Arial"/>
          <w:sz w:val="16"/>
          <w:szCs w:val="16"/>
        </w:rPr>
        <w:t xml:space="preserve">&gt;. 2 June 2009. </w:t>
      </w:r>
    </w:p>
    <w:p w:rsidR="002D43D0" w:rsidRDefault="005D1AA6" w:rsidP="005D1AA6">
      <w:pPr>
        <w:spacing w:before="100" w:beforeAutospacing="1" w:after="100" w:afterAutospacing="1" w:line="240" w:lineRule="auto"/>
        <w:rPr>
          <w:rFonts w:ascii="Arial" w:eastAsia="Times New Roman" w:hAnsi="Arial" w:cs="Arial"/>
          <w:sz w:val="24"/>
          <w:szCs w:val="24"/>
        </w:rPr>
      </w:pPr>
      <w:r w:rsidRPr="00CF2C7E">
        <w:rPr>
          <w:rFonts w:ascii="Arial" w:eastAsia="Times New Roman" w:hAnsi="Arial" w:cs="Arial"/>
          <w:sz w:val="24"/>
          <w:szCs w:val="24"/>
        </w:rPr>
        <w:t> </w:t>
      </w:r>
    </w:p>
    <w:p w:rsidR="005D1AA6" w:rsidRPr="00885DB4" w:rsidRDefault="005D1AA6" w:rsidP="005D1AA6">
      <w:pPr>
        <w:spacing w:before="100" w:beforeAutospacing="1" w:after="100" w:afterAutospacing="1" w:line="240" w:lineRule="auto"/>
        <w:rPr>
          <w:rFonts w:ascii="Arial" w:eastAsia="Times New Roman" w:hAnsi="Arial" w:cs="Arial"/>
          <w:sz w:val="26"/>
          <w:szCs w:val="26"/>
        </w:rPr>
      </w:pPr>
      <w:r w:rsidRPr="00885DB4">
        <w:rPr>
          <w:rFonts w:ascii="Arial" w:eastAsia="Times New Roman" w:hAnsi="Arial" w:cs="Arial"/>
          <w:b/>
          <w:bCs/>
          <w:sz w:val="26"/>
          <w:szCs w:val="26"/>
        </w:rPr>
        <w:t>Graph 4</w:t>
      </w:r>
    </w:p>
    <w:p w:rsidR="005D1AA6" w:rsidRDefault="00CF2C7E" w:rsidP="005D1AA6">
      <w:pPr>
        <w:spacing w:before="100" w:beforeAutospacing="1" w:after="100" w:afterAutospacing="1" w:line="240" w:lineRule="auto"/>
        <w:rPr>
          <w:rFonts w:ascii="Arial" w:eastAsia="Times New Roman" w:hAnsi="Arial" w:cs="Arial"/>
          <w:b/>
        </w:rPr>
      </w:pPr>
      <w:r w:rsidRPr="00885DB4">
        <w:rPr>
          <w:rFonts w:ascii="Arial" w:eastAsia="Times New Roman" w:hAnsi="Arial" w:cs="Arial"/>
        </w:rPr>
        <w:t>The</w:t>
      </w:r>
      <w:r w:rsidR="005D1AA6" w:rsidRPr="00885DB4">
        <w:rPr>
          <w:rFonts w:ascii="Arial" w:eastAsia="Times New Roman" w:hAnsi="Arial" w:cs="Arial"/>
        </w:rPr>
        <w:t xml:space="preserve"> following graph shows statistics for census metropolitan areas (CMAs)</w:t>
      </w:r>
      <w:r w:rsidRPr="00885DB4">
        <w:rPr>
          <w:rFonts w:ascii="Arial" w:eastAsia="Times New Roman" w:hAnsi="Arial" w:cs="Arial"/>
        </w:rPr>
        <w:t>.  Immigrants</w:t>
      </w:r>
      <w:r w:rsidR="005D1AA6" w:rsidRPr="00885DB4">
        <w:rPr>
          <w:rFonts w:ascii="Arial" w:eastAsia="Times New Roman" w:hAnsi="Arial" w:cs="Arial"/>
        </w:rPr>
        <w:t xml:space="preserve"> have been more attracted to some of these large urb</w:t>
      </w:r>
      <w:r w:rsidR="00585271" w:rsidRPr="00885DB4">
        <w:rPr>
          <w:rFonts w:ascii="Arial" w:eastAsia="Times New Roman" w:hAnsi="Arial" w:cs="Arial"/>
        </w:rPr>
        <w:t>an centres than to others</w:t>
      </w:r>
      <w:r w:rsidRPr="00885DB4">
        <w:rPr>
          <w:rFonts w:ascii="Arial" w:eastAsia="Times New Roman" w:hAnsi="Arial" w:cs="Arial"/>
        </w:rPr>
        <w:t xml:space="preserve">.  </w:t>
      </w:r>
      <w:r w:rsidR="00585271" w:rsidRPr="00885DB4">
        <w:rPr>
          <w:rFonts w:ascii="Arial" w:eastAsia="Times New Roman" w:hAnsi="Arial" w:cs="Arial"/>
          <w:b/>
        </w:rPr>
        <w:t>Use</w:t>
      </w:r>
      <w:r w:rsidR="005D1AA6" w:rsidRPr="00885DB4">
        <w:rPr>
          <w:rFonts w:ascii="Arial" w:eastAsia="Times New Roman" w:hAnsi="Arial" w:cs="Arial"/>
          <w:b/>
        </w:rPr>
        <w:t xml:space="preserve"> the </w:t>
      </w:r>
      <w:r w:rsidR="00585271" w:rsidRPr="00885DB4">
        <w:rPr>
          <w:rFonts w:ascii="Arial" w:eastAsia="Times New Roman" w:hAnsi="Arial" w:cs="Arial"/>
          <w:b/>
        </w:rPr>
        <w:t>data from the 2001 Census below to</w:t>
      </w:r>
      <w:r w:rsidR="005D1AA6" w:rsidRPr="00885DB4">
        <w:rPr>
          <w:rFonts w:ascii="Arial" w:eastAsia="Times New Roman" w:hAnsi="Arial" w:cs="Arial"/>
          <w:b/>
        </w:rPr>
        <w:t xml:space="preserve"> fill in the missing bars to complete the graph.</w:t>
      </w:r>
    </w:p>
    <w:tbl>
      <w:tblPr>
        <w:tblW w:w="475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706"/>
        <w:gridCol w:w="8075"/>
      </w:tblGrid>
      <w:tr w:rsidR="005D1AA6" w:rsidRPr="00A978F8" w:rsidTr="00A978F8">
        <w:tc>
          <w:tcPr>
            <w:tcW w:w="0" w:type="auto"/>
            <w:tcBorders>
              <w:top w:val="single" w:sz="8" w:space="0" w:color="000000"/>
              <w:left w:val="single" w:sz="8" w:space="0" w:color="000000"/>
              <w:bottom w:val="single" w:sz="18" w:space="0" w:color="000000"/>
              <w:right w:val="single" w:sz="8" w:space="0" w:color="000000"/>
            </w:tcBorders>
            <w:hideMark/>
          </w:tcPr>
          <w:p w:rsidR="005D1AA6" w:rsidRPr="00A978F8" w:rsidRDefault="005D1AA6" w:rsidP="00A978F8">
            <w:pPr>
              <w:spacing w:before="100" w:beforeAutospacing="1" w:after="100" w:afterAutospacing="1" w:line="240" w:lineRule="auto"/>
              <w:jc w:val="center"/>
              <w:rPr>
                <w:rFonts w:ascii="Arial" w:eastAsia="Times New Roman" w:hAnsi="Arial" w:cs="Arial"/>
                <w:b/>
                <w:bCs/>
              </w:rPr>
            </w:pPr>
            <w:r w:rsidRPr="00A978F8">
              <w:rPr>
                <w:rFonts w:ascii="Arial" w:eastAsia="Times New Roman" w:hAnsi="Arial" w:cs="Arial"/>
                <w:b/>
                <w:bCs/>
              </w:rPr>
              <w:t> CMA</w:t>
            </w:r>
          </w:p>
        </w:tc>
        <w:tc>
          <w:tcPr>
            <w:tcW w:w="4128" w:type="pct"/>
            <w:tcBorders>
              <w:top w:val="single" w:sz="8" w:space="0" w:color="000000"/>
              <w:left w:val="single" w:sz="8" w:space="0" w:color="000000"/>
              <w:bottom w:val="single" w:sz="18" w:space="0" w:color="000000"/>
              <w:right w:val="single" w:sz="8" w:space="0" w:color="000000"/>
            </w:tcBorders>
            <w:hideMark/>
          </w:tcPr>
          <w:p w:rsidR="002D43D0" w:rsidRPr="00A978F8" w:rsidRDefault="005D1AA6" w:rsidP="00A978F8">
            <w:pPr>
              <w:spacing w:before="100" w:beforeAutospacing="1" w:after="100" w:afterAutospacing="1" w:line="240" w:lineRule="auto"/>
              <w:jc w:val="center"/>
              <w:rPr>
                <w:rFonts w:ascii="Arial" w:eastAsia="Times New Roman" w:hAnsi="Arial" w:cs="Arial"/>
                <w:b/>
                <w:bCs/>
              </w:rPr>
            </w:pPr>
            <w:r w:rsidRPr="00A978F8">
              <w:rPr>
                <w:rFonts w:ascii="Arial" w:eastAsia="Times New Roman" w:hAnsi="Arial" w:cs="Arial"/>
                <w:b/>
                <w:bCs/>
              </w:rPr>
              <w:t>Percentage of total CMA population</w:t>
            </w:r>
          </w:p>
        </w:tc>
      </w:tr>
      <w:tr w:rsidR="005D1AA6" w:rsidRPr="00A978F8" w:rsidTr="00A978F8">
        <w:tc>
          <w:tcPr>
            <w:tcW w:w="0" w:type="auto"/>
            <w:tcBorders>
              <w:top w:val="single" w:sz="8" w:space="0" w:color="000000"/>
              <w:left w:val="single" w:sz="8" w:space="0" w:color="000000"/>
              <w:bottom w:val="single" w:sz="8" w:space="0" w:color="000000"/>
              <w:right w:val="single" w:sz="8" w:space="0" w:color="000000"/>
            </w:tcBorders>
            <w:shd w:val="clear" w:color="auto" w:fill="C0C0C0"/>
            <w:hideMark/>
          </w:tcPr>
          <w:p w:rsidR="005D1AA6" w:rsidRPr="00A978F8" w:rsidRDefault="005D1AA6" w:rsidP="00A978F8">
            <w:pPr>
              <w:spacing w:before="100" w:beforeAutospacing="1" w:after="100" w:afterAutospacing="1" w:line="240" w:lineRule="auto"/>
              <w:jc w:val="center"/>
              <w:rPr>
                <w:rFonts w:ascii="Arial" w:eastAsia="Times New Roman" w:hAnsi="Arial" w:cs="Arial"/>
                <w:b/>
                <w:bCs/>
              </w:rPr>
            </w:pPr>
            <w:r w:rsidRPr="00A978F8">
              <w:rPr>
                <w:rFonts w:ascii="Arial" w:eastAsia="Times New Roman" w:hAnsi="Arial" w:cs="Arial"/>
                <w:b/>
                <w:bCs/>
              </w:rPr>
              <w:t>Toronto</w:t>
            </w:r>
          </w:p>
        </w:tc>
        <w:tc>
          <w:tcPr>
            <w:tcW w:w="4128" w:type="pct"/>
            <w:tcBorders>
              <w:top w:val="single" w:sz="8" w:space="0" w:color="000000"/>
              <w:left w:val="single" w:sz="8" w:space="0" w:color="000000"/>
              <w:bottom w:val="single" w:sz="8" w:space="0" w:color="000000"/>
              <w:right w:val="single" w:sz="8" w:space="0" w:color="000000"/>
            </w:tcBorders>
            <w:shd w:val="clear" w:color="auto" w:fill="C0C0C0"/>
            <w:hideMark/>
          </w:tcPr>
          <w:p w:rsidR="005D1AA6" w:rsidRPr="00A978F8" w:rsidRDefault="005D1AA6" w:rsidP="00A978F8">
            <w:pPr>
              <w:spacing w:before="100" w:beforeAutospacing="1" w:after="100" w:afterAutospacing="1" w:line="240" w:lineRule="auto"/>
              <w:jc w:val="center"/>
              <w:rPr>
                <w:rFonts w:ascii="Arial" w:eastAsia="Times New Roman" w:hAnsi="Arial" w:cs="Arial"/>
              </w:rPr>
            </w:pPr>
            <w:r w:rsidRPr="00A978F8">
              <w:rPr>
                <w:rFonts w:ascii="Arial" w:eastAsia="Times New Roman" w:hAnsi="Arial" w:cs="Arial"/>
              </w:rPr>
              <w:t>43.7%</w:t>
            </w:r>
          </w:p>
        </w:tc>
      </w:tr>
      <w:tr w:rsidR="005D1AA6" w:rsidRPr="00A978F8" w:rsidTr="00A978F8">
        <w:tc>
          <w:tcPr>
            <w:tcW w:w="0" w:type="auto"/>
            <w:tcBorders>
              <w:top w:val="single" w:sz="8" w:space="0" w:color="000000"/>
              <w:left w:val="single" w:sz="8" w:space="0" w:color="000000"/>
              <w:bottom w:val="single" w:sz="8" w:space="0" w:color="000000"/>
              <w:right w:val="single" w:sz="8" w:space="0" w:color="000000"/>
            </w:tcBorders>
            <w:hideMark/>
          </w:tcPr>
          <w:p w:rsidR="005D1AA6" w:rsidRPr="00A978F8" w:rsidRDefault="005D1AA6" w:rsidP="00A978F8">
            <w:pPr>
              <w:spacing w:before="100" w:beforeAutospacing="1" w:after="100" w:afterAutospacing="1" w:line="240" w:lineRule="auto"/>
              <w:jc w:val="center"/>
              <w:rPr>
                <w:rFonts w:ascii="Arial" w:eastAsia="Times New Roman" w:hAnsi="Arial" w:cs="Arial"/>
                <w:b/>
                <w:bCs/>
              </w:rPr>
            </w:pPr>
            <w:r w:rsidRPr="00A978F8">
              <w:rPr>
                <w:rFonts w:ascii="Arial" w:eastAsia="Times New Roman" w:hAnsi="Arial" w:cs="Arial"/>
                <w:b/>
                <w:bCs/>
              </w:rPr>
              <w:t>Vancouver</w:t>
            </w:r>
          </w:p>
        </w:tc>
        <w:tc>
          <w:tcPr>
            <w:tcW w:w="4128" w:type="pct"/>
            <w:tcBorders>
              <w:top w:val="single" w:sz="8" w:space="0" w:color="000000"/>
              <w:left w:val="single" w:sz="8" w:space="0" w:color="000000"/>
              <w:bottom w:val="single" w:sz="8" w:space="0" w:color="000000"/>
              <w:right w:val="single" w:sz="8" w:space="0" w:color="000000"/>
            </w:tcBorders>
            <w:hideMark/>
          </w:tcPr>
          <w:p w:rsidR="005D1AA6" w:rsidRPr="00A978F8" w:rsidRDefault="005D1AA6" w:rsidP="00A978F8">
            <w:pPr>
              <w:spacing w:before="100" w:beforeAutospacing="1" w:after="100" w:afterAutospacing="1" w:line="240" w:lineRule="auto"/>
              <w:jc w:val="center"/>
              <w:rPr>
                <w:rFonts w:ascii="Arial" w:eastAsia="Times New Roman" w:hAnsi="Arial" w:cs="Arial"/>
              </w:rPr>
            </w:pPr>
            <w:r w:rsidRPr="00A978F8">
              <w:rPr>
                <w:rFonts w:ascii="Arial" w:eastAsia="Times New Roman" w:hAnsi="Arial" w:cs="Arial"/>
              </w:rPr>
              <w:t>37.5%</w:t>
            </w:r>
          </w:p>
        </w:tc>
      </w:tr>
      <w:tr w:rsidR="005D1AA6" w:rsidRPr="00A978F8" w:rsidTr="00A978F8">
        <w:tc>
          <w:tcPr>
            <w:tcW w:w="0" w:type="auto"/>
            <w:tcBorders>
              <w:top w:val="single" w:sz="8" w:space="0" w:color="000000"/>
              <w:left w:val="single" w:sz="8" w:space="0" w:color="000000"/>
              <w:bottom w:val="single" w:sz="8" w:space="0" w:color="000000"/>
              <w:right w:val="single" w:sz="8" w:space="0" w:color="000000"/>
            </w:tcBorders>
            <w:shd w:val="clear" w:color="auto" w:fill="C0C0C0"/>
            <w:hideMark/>
          </w:tcPr>
          <w:p w:rsidR="005D1AA6" w:rsidRPr="00A978F8" w:rsidRDefault="005D1AA6" w:rsidP="00A978F8">
            <w:pPr>
              <w:spacing w:before="100" w:beforeAutospacing="1" w:after="100" w:afterAutospacing="1" w:line="240" w:lineRule="auto"/>
              <w:jc w:val="center"/>
              <w:rPr>
                <w:rFonts w:ascii="Arial" w:eastAsia="Times New Roman" w:hAnsi="Arial" w:cs="Arial"/>
                <w:b/>
                <w:bCs/>
              </w:rPr>
            </w:pPr>
            <w:r w:rsidRPr="00A978F8">
              <w:rPr>
                <w:rFonts w:ascii="Arial" w:eastAsia="Times New Roman" w:hAnsi="Arial" w:cs="Arial"/>
                <w:b/>
                <w:bCs/>
              </w:rPr>
              <w:t>Hamilton</w:t>
            </w:r>
          </w:p>
        </w:tc>
        <w:tc>
          <w:tcPr>
            <w:tcW w:w="4128" w:type="pct"/>
            <w:tcBorders>
              <w:top w:val="single" w:sz="8" w:space="0" w:color="000000"/>
              <w:left w:val="single" w:sz="8" w:space="0" w:color="000000"/>
              <w:bottom w:val="single" w:sz="8" w:space="0" w:color="000000"/>
              <w:right w:val="single" w:sz="8" w:space="0" w:color="000000"/>
            </w:tcBorders>
            <w:shd w:val="clear" w:color="auto" w:fill="C0C0C0"/>
            <w:hideMark/>
          </w:tcPr>
          <w:p w:rsidR="005D1AA6" w:rsidRPr="00A978F8" w:rsidRDefault="005D1AA6" w:rsidP="00A978F8">
            <w:pPr>
              <w:spacing w:before="100" w:beforeAutospacing="1" w:after="100" w:afterAutospacing="1" w:line="240" w:lineRule="auto"/>
              <w:jc w:val="center"/>
              <w:rPr>
                <w:rFonts w:ascii="Arial" w:eastAsia="Times New Roman" w:hAnsi="Arial" w:cs="Arial"/>
              </w:rPr>
            </w:pPr>
            <w:r w:rsidRPr="00A978F8">
              <w:rPr>
                <w:rFonts w:ascii="Arial" w:eastAsia="Times New Roman" w:hAnsi="Arial" w:cs="Arial"/>
              </w:rPr>
              <w:t>23.6%</w:t>
            </w:r>
          </w:p>
        </w:tc>
      </w:tr>
      <w:tr w:rsidR="005D1AA6" w:rsidRPr="00A978F8" w:rsidTr="00A978F8">
        <w:tc>
          <w:tcPr>
            <w:tcW w:w="0" w:type="auto"/>
            <w:tcBorders>
              <w:top w:val="single" w:sz="8" w:space="0" w:color="000000"/>
              <w:left w:val="single" w:sz="8" w:space="0" w:color="000000"/>
              <w:bottom w:val="single" w:sz="8" w:space="0" w:color="000000"/>
              <w:right w:val="single" w:sz="8" w:space="0" w:color="000000"/>
            </w:tcBorders>
            <w:hideMark/>
          </w:tcPr>
          <w:p w:rsidR="005D1AA6" w:rsidRPr="00A978F8" w:rsidRDefault="005D1AA6" w:rsidP="00A978F8">
            <w:pPr>
              <w:spacing w:before="100" w:beforeAutospacing="1" w:after="100" w:afterAutospacing="1" w:line="240" w:lineRule="auto"/>
              <w:jc w:val="center"/>
              <w:rPr>
                <w:rFonts w:ascii="Arial" w:eastAsia="Times New Roman" w:hAnsi="Arial" w:cs="Arial"/>
                <w:b/>
                <w:bCs/>
              </w:rPr>
            </w:pPr>
            <w:r w:rsidRPr="00A978F8">
              <w:rPr>
                <w:rFonts w:ascii="Arial" w:eastAsia="Times New Roman" w:hAnsi="Arial" w:cs="Arial"/>
                <w:b/>
                <w:bCs/>
              </w:rPr>
              <w:t>Windsor</w:t>
            </w:r>
          </w:p>
        </w:tc>
        <w:tc>
          <w:tcPr>
            <w:tcW w:w="4128" w:type="pct"/>
            <w:tcBorders>
              <w:top w:val="single" w:sz="8" w:space="0" w:color="000000"/>
              <w:left w:val="single" w:sz="8" w:space="0" w:color="000000"/>
              <w:bottom w:val="single" w:sz="8" w:space="0" w:color="000000"/>
              <w:right w:val="single" w:sz="8" w:space="0" w:color="000000"/>
            </w:tcBorders>
            <w:hideMark/>
          </w:tcPr>
          <w:p w:rsidR="005D1AA6" w:rsidRPr="00A978F8" w:rsidRDefault="005D1AA6" w:rsidP="00A978F8">
            <w:pPr>
              <w:spacing w:before="100" w:beforeAutospacing="1" w:after="100" w:afterAutospacing="1" w:line="240" w:lineRule="auto"/>
              <w:jc w:val="center"/>
              <w:rPr>
                <w:rFonts w:ascii="Arial" w:eastAsia="Times New Roman" w:hAnsi="Arial" w:cs="Arial"/>
              </w:rPr>
            </w:pPr>
            <w:r w:rsidRPr="00A978F8">
              <w:rPr>
                <w:rFonts w:ascii="Arial" w:eastAsia="Times New Roman" w:hAnsi="Arial" w:cs="Arial"/>
              </w:rPr>
              <w:t>22.3%</w:t>
            </w:r>
          </w:p>
        </w:tc>
      </w:tr>
      <w:tr w:rsidR="005D1AA6" w:rsidRPr="00A978F8" w:rsidTr="00A978F8">
        <w:tc>
          <w:tcPr>
            <w:tcW w:w="0" w:type="auto"/>
            <w:tcBorders>
              <w:top w:val="single" w:sz="8" w:space="0" w:color="000000"/>
              <w:left w:val="single" w:sz="8" w:space="0" w:color="000000"/>
              <w:bottom w:val="single" w:sz="8" w:space="0" w:color="000000"/>
              <w:right w:val="single" w:sz="8" w:space="0" w:color="000000"/>
            </w:tcBorders>
            <w:shd w:val="clear" w:color="auto" w:fill="C0C0C0"/>
            <w:hideMark/>
          </w:tcPr>
          <w:p w:rsidR="005D1AA6" w:rsidRPr="00A978F8" w:rsidRDefault="005D1AA6" w:rsidP="00A978F8">
            <w:pPr>
              <w:spacing w:before="100" w:beforeAutospacing="1" w:after="100" w:afterAutospacing="1" w:line="240" w:lineRule="auto"/>
              <w:jc w:val="center"/>
              <w:rPr>
                <w:rFonts w:ascii="Arial" w:eastAsia="Times New Roman" w:hAnsi="Arial" w:cs="Arial"/>
                <w:b/>
                <w:bCs/>
              </w:rPr>
            </w:pPr>
            <w:r w:rsidRPr="00A978F8">
              <w:rPr>
                <w:rFonts w:ascii="Arial" w:eastAsia="Times New Roman" w:hAnsi="Arial" w:cs="Arial"/>
                <w:b/>
                <w:bCs/>
              </w:rPr>
              <w:t>Kitchener</w:t>
            </w:r>
          </w:p>
        </w:tc>
        <w:tc>
          <w:tcPr>
            <w:tcW w:w="4128" w:type="pct"/>
            <w:tcBorders>
              <w:top w:val="single" w:sz="8" w:space="0" w:color="000000"/>
              <w:left w:val="single" w:sz="8" w:space="0" w:color="000000"/>
              <w:bottom w:val="single" w:sz="8" w:space="0" w:color="000000"/>
              <w:right w:val="single" w:sz="8" w:space="0" w:color="000000"/>
            </w:tcBorders>
            <w:shd w:val="clear" w:color="auto" w:fill="C0C0C0"/>
            <w:hideMark/>
          </w:tcPr>
          <w:p w:rsidR="00B47BEF" w:rsidRPr="00A978F8" w:rsidRDefault="005D1AA6" w:rsidP="00A978F8">
            <w:pPr>
              <w:spacing w:before="100" w:beforeAutospacing="1" w:after="0" w:line="240" w:lineRule="auto"/>
              <w:jc w:val="center"/>
              <w:rPr>
                <w:rFonts w:ascii="Arial" w:eastAsia="Times New Roman" w:hAnsi="Arial" w:cs="Arial"/>
              </w:rPr>
            </w:pPr>
            <w:r w:rsidRPr="00A978F8">
              <w:rPr>
                <w:rFonts w:ascii="Arial" w:eastAsia="Times New Roman" w:hAnsi="Arial" w:cs="Arial"/>
              </w:rPr>
              <w:t>22.1%</w:t>
            </w:r>
          </w:p>
        </w:tc>
      </w:tr>
    </w:tbl>
    <w:p w:rsidR="00A83096" w:rsidRDefault="00A83096" w:rsidP="00A83096">
      <w:pPr>
        <w:tabs>
          <w:tab w:val="center" w:pos="4680"/>
        </w:tabs>
        <w:spacing w:before="100" w:beforeAutospacing="1" w:after="100" w:afterAutospacing="1" w:line="240" w:lineRule="auto"/>
        <w:jc w:val="center"/>
        <w:rPr>
          <w:rFonts w:ascii="Arial" w:eastAsia="Times New Roman" w:hAnsi="Arial" w:cs="Arial"/>
          <w:sz w:val="24"/>
          <w:szCs w:val="24"/>
        </w:rPr>
      </w:pPr>
      <w:r w:rsidRPr="002D43D0">
        <w:rPr>
          <w:rFonts w:ascii="Arial" w:eastAsia="Times New Roman" w:hAnsi="Arial" w:cs="Arial"/>
          <w:b/>
          <w:sz w:val="24"/>
          <w:szCs w:val="24"/>
        </w:rPr>
        <w:lastRenderedPageBreak/>
        <w:t>Immigrants as a percentage of total CMA population, 2001</w:t>
      </w:r>
    </w:p>
    <w:p w:rsidR="005D1AA6" w:rsidRPr="00A83096" w:rsidRDefault="005D1AA6" w:rsidP="00280A04">
      <w:pPr>
        <w:tabs>
          <w:tab w:val="center" w:pos="4680"/>
        </w:tabs>
        <w:spacing w:before="100" w:beforeAutospacing="1" w:after="100" w:afterAutospacing="1" w:line="240" w:lineRule="auto"/>
        <w:rPr>
          <w:rFonts w:ascii="Arial" w:eastAsia="Times New Roman" w:hAnsi="Arial" w:cs="Arial"/>
          <w:sz w:val="24"/>
          <w:szCs w:val="24"/>
        </w:rPr>
      </w:pPr>
      <w:r w:rsidRPr="00CF2C7E">
        <w:rPr>
          <w:rFonts w:ascii="Arial" w:eastAsia="Times New Roman" w:hAnsi="Arial" w:cs="Arial"/>
          <w:sz w:val="24"/>
          <w:szCs w:val="24"/>
        </w:rPr>
        <w:t> </w:t>
      </w:r>
      <w:r w:rsidR="008C7879">
        <w:rPr>
          <w:noProof/>
          <w:lang w:eastAsia="en-CA"/>
        </w:rPr>
        <w:drawing>
          <wp:inline distT="0" distB="0" distL="0" distR="0">
            <wp:extent cx="6217920" cy="6949440"/>
            <wp:effectExtent l="0" t="0" r="0" b="0"/>
            <wp:docPr id="5"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A83096">
        <w:br/>
      </w:r>
      <w:r w:rsidR="00885DB4" w:rsidRPr="00885DB4">
        <w:rPr>
          <w:rFonts w:ascii="Arial" w:eastAsia="Times New Roman" w:hAnsi="Arial" w:cs="Arial"/>
          <w:sz w:val="16"/>
          <w:szCs w:val="16"/>
        </w:rPr>
        <w:t>A</w:t>
      </w:r>
      <w:r w:rsidRPr="00885DB4">
        <w:rPr>
          <w:rFonts w:ascii="Arial" w:eastAsia="Times New Roman" w:hAnsi="Arial" w:cs="Arial"/>
          <w:sz w:val="16"/>
          <w:szCs w:val="16"/>
        </w:rPr>
        <w:t xml:space="preserve">dapted from </w:t>
      </w:r>
      <w:r w:rsidRPr="00885DB4">
        <w:rPr>
          <w:rFonts w:ascii="Arial" w:eastAsia="Times New Roman" w:hAnsi="Arial" w:cs="Arial"/>
          <w:i/>
          <w:iCs/>
          <w:sz w:val="16"/>
          <w:szCs w:val="16"/>
        </w:rPr>
        <w:t>Statistics Canada &lt;</w:t>
      </w:r>
      <w:hyperlink r:id="rId18" w:history="1">
        <w:r w:rsidRPr="00885DB4">
          <w:rPr>
            <w:rFonts w:ascii="Arial" w:eastAsia="Times New Roman" w:hAnsi="Arial" w:cs="Arial"/>
            <w:color w:val="3366CC"/>
            <w:sz w:val="16"/>
            <w:szCs w:val="16"/>
            <w:u w:val="single"/>
          </w:rPr>
          <w:t>http://www12.statcan.ca/english/census01/teacher%27s_kit/activity10_chart4.cfm</w:t>
        </w:r>
      </w:hyperlink>
      <w:r w:rsidRPr="00885DB4">
        <w:rPr>
          <w:rFonts w:ascii="Arial" w:eastAsia="Times New Roman" w:hAnsi="Arial" w:cs="Arial"/>
          <w:sz w:val="16"/>
          <w:szCs w:val="16"/>
        </w:rPr>
        <w:t>&gt;. 2 June 2009.</w:t>
      </w:r>
    </w:p>
    <w:p w:rsidR="005B5FAB" w:rsidRDefault="005B5FAB" w:rsidP="005D1AA6">
      <w:pPr>
        <w:spacing w:before="100" w:beforeAutospacing="1" w:after="100" w:afterAutospacing="1" w:line="240" w:lineRule="auto"/>
        <w:rPr>
          <w:rFonts w:ascii="Arial" w:eastAsia="Times New Roman" w:hAnsi="Arial" w:cs="Arial"/>
        </w:rPr>
      </w:pPr>
    </w:p>
    <w:p w:rsidR="00395548" w:rsidRDefault="008C2A16" w:rsidP="005D1AA6">
      <w:pPr>
        <w:spacing w:before="100" w:beforeAutospacing="1" w:after="100" w:afterAutospacing="1" w:line="240" w:lineRule="auto"/>
        <w:rPr>
          <w:rFonts w:ascii="Arial" w:eastAsia="Times New Roman" w:hAnsi="Arial" w:cs="Arial"/>
        </w:rPr>
      </w:pPr>
      <w:r w:rsidRPr="00885DB4">
        <w:rPr>
          <w:rFonts w:ascii="Arial" w:eastAsia="Times New Roman" w:hAnsi="Arial" w:cs="Arial"/>
        </w:rPr>
        <w:t>Save your work to your</w:t>
      </w:r>
      <w:r w:rsidRPr="00885DB4">
        <w:rPr>
          <w:rFonts w:ascii="Arial" w:eastAsia="Times New Roman" w:hAnsi="Arial" w:cs="Arial"/>
          <w:b/>
        </w:rPr>
        <w:t xml:space="preserve"> Activities </w:t>
      </w:r>
      <w:r w:rsidRPr="00885DB4">
        <w:rPr>
          <w:rFonts w:ascii="Arial" w:eastAsia="Times New Roman" w:hAnsi="Arial" w:cs="Arial"/>
        </w:rPr>
        <w:t xml:space="preserve">folder. </w:t>
      </w:r>
      <w:r w:rsidR="005D1AA6" w:rsidRPr="00885DB4">
        <w:rPr>
          <w:rFonts w:ascii="Arial" w:eastAsia="Times New Roman" w:hAnsi="Arial" w:cs="Arial"/>
        </w:rPr>
        <w:t xml:space="preserve"> </w:t>
      </w:r>
    </w:p>
    <w:p w:rsidR="005D1AA6" w:rsidRPr="00885DB4" w:rsidRDefault="005D1AA6" w:rsidP="00885DB4">
      <w:pPr>
        <w:spacing w:before="100" w:beforeAutospacing="1" w:after="100" w:afterAutospacing="1" w:line="240" w:lineRule="auto"/>
        <w:rPr>
          <w:rFonts w:ascii="Arial" w:eastAsia="Times New Roman" w:hAnsi="Arial" w:cs="Arial"/>
          <w:sz w:val="16"/>
          <w:szCs w:val="16"/>
        </w:rPr>
      </w:pPr>
      <w:r w:rsidRPr="00885DB4">
        <w:rPr>
          <w:rFonts w:ascii="Arial" w:eastAsia="Times New Roman" w:hAnsi="Arial" w:cs="Arial"/>
          <w:i/>
          <w:iCs/>
          <w:sz w:val="16"/>
          <w:szCs w:val="16"/>
        </w:rPr>
        <w:lastRenderedPageBreak/>
        <w:t xml:space="preserve">Source: Adapted from Statistics Canada, </w:t>
      </w:r>
      <w:hyperlink r:id="rId19" w:history="1">
        <w:r w:rsidRPr="00885DB4">
          <w:rPr>
            <w:rFonts w:ascii="Arial" w:eastAsia="Times New Roman" w:hAnsi="Arial" w:cs="Arial"/>
            <w:color w:val="3366CC"/>
            <w:sz w:val="16"/>
            <w:szCs w:val="16"/>
            <w:u w:val="single"/>
          </w:rPr>
          <w:t>http://www12.statcan.ca/english/census01/teacher%27s_kit/teacher%27s_guide.cfm</w:t>
        </w:r>
      </w:hyperlink>
      <w:r w:rsidRPr="00885DB4">
        <w:rPr>
          <w:rFonts w:ascii="Arial" w:eastAsia="Times New Roman" w:hAnsi="Arial" w:cs="Arial"/>
          <w:i/>
          <w:iCs/>
          <w:sz w:val="16"/>
          <w:szCs w:val="16"/>
        </w:rPr>
        <w:t>, 2 June 2009.</w:t>
      </w:r>
    </w:p>
    <w:p w:rsidR="00863665" w:rsidRPr="00885DB4" w:rsidRDefault="005D1AA6" w:rsidP="008C2A16">
      <w:pPr>
        <w:spacing w:before="100" w:beforeAutospacing="1" w:after="100" w:afterAutospacing="1" w:line="240" w:lineRule="auto"/>
        <w:rPr>
          <w:rFonts w:ascii="Arial" w:hAnsi="Arial" w:cs="Arial"/>
          <w:sz w:val="16"/>
          <w:szCs w:val="16"/>
        </w:rPr>
      </w:pPr>
      <w:r w:rsidRPr="00885DB4">
        <w:rPr>
          <w:rFonts w:ascii="Arial" w:eastAsia="Times New Roman" w:hAnsi="Arial" w:cs="Arial"/>
          <w:i/>
          <w:iCs/>
          <w:sz w:val="16"/>
          <w:szCs w:val="16"/>
        </w:rPr>
        <w:t>Statistics Canada information is used with the permission of Statistics Canada</w:t>
      </w:r>
      <w:r w:rsidR="00CF2C7E" w:rsidRPr="00885DB4">
        <w:rPr>
          <w:rFonts w:ascii="Arial" w:eastAsia="Times New Roman" w:hAnsi="Arial" w:cs="Arial"/>
          <w:i/>
          <w:iCs/>
          <w:sz w:val="16"/>
          <w:szCs w:val="16"/>
        </w:rPr>
        <w:t xml:space="preserve">.  </w:t>
      </w:r>
      <w:r w:rsidRPr="00885DB4">
        <w:rPr>
          <w:rFonts w:ascii="Arial" w:eastAsia="Times New Roman" w:hAnsi="Arial" w:cs="Arial"/>
          <w:i/>
          <w:iCs/>
          <w:sz w:val="16"/>
          <w:szCs w:val="16"/>
        </w:rPr>
        <w:t>Users are forbidden to copy this material and/or redisseminate the data, in an original or modified form, for commercial purposes, without the expressed permission of Statistics Canada</w:t>
      </w:r>
      <w:r w:rsidR="00CF2C7E" w:rsidRPr="00885DB4">
        <w:rPr>
          <w:rFonts w:ascii="Arial" w:eastAsia="Times New Roman" w:hAnsi="Arial" w:cs="Arial"/>
          <w:i/>
          <w:iCs/>
          <w:sz w:val="16"/>
          <w:szCs w:val="16"/>
        </w:rPr>
        <w:t xml:space="preserve">.  </w:t>
      </w:r>
      <w:r w:rsidRPr="00885DB4">
        <w:rPr>
          <w:rFonts w:ascii="Arial" w:eastAsia="Times New Roman" w:hAnsi="Arial" w:cs="Arial"/>
          <w:i/>
          <w:iCs/>
          <w:sz w:val="16"/>
          <w:szCs w:val="16"/>
        </w:rPr>
        <w:t xml:space="preserve">Information on the availability of the wide range of data from Statistics Canada can be obtained from Statistics Canada's Regional Offices, its World Wide Web site at </w:t>
      </w:r>
      <w:hyperlink r:id="rId20" w:history="1">
        <w:r w:rsidRPr="00885DB4">
          <w:rPr>
            <w:rFonts w:ascii="Arial" w:eastAsia="Times New Roman" w:hAnsi="Arial" w:cs="Arial"/>
            <w:i/>
            <w:iCs/>
            <w:color w:val="3366CC"/>
            <w:sz w:val="16"/>
            <w:szCs w:val="16"/>
            <w:u w:val="single"/>
          </w:rPr>
          <w:t>http://www.statcan.gc.ca</w:t>
        </w:r>
      </w:hyperlink>
      <w:r w:rsidRPr="00885DB4">
        <w:rPr>
          <w:rFonts w:ascii="Arial" w:eastAsia="Times New Roman" w:hAnsi="Arial" w:cs="Arial"/>
          <w:i/>
          <w:iCs/>
          <w:sz w:val="16"/>
          <w:szCs w:val="16"/>
        </w:rPr>
        <w:t>, and its toll-free access number 1-800-263-1136.</w:t>
      </w:r>
    </w:p>
    <w:sectPr w:rsidR="00863665" w:rsidRPr="00885DB4" w:rsidSect="00885DB4">
      <w:headerReference w:type="default" r:id="rId2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CE6" w:rsidRPr="005B205A" w:rsidRDefault="007F3CE6" w:rsidP="00E565BC">
      <w:pPr>
        <w:spacing w:after="0" w:line="240" w:lineRule="auto"/>
        <w:rPr>
          <w:rFonts w:ascii="Times New Roman" w:hAnsi="Times New Roman"/>
          <w:sz w:val="24"/>
          <w:szCs w:val="24"/>
          <w:lang w:val="en-US"/>
        </w:rPr>
      </w:pPr>
      <w:r>
        <w:separator/>
      </w:r>
    </w:p>
  </w:endnote>
  <w:endnote w:type="continuationSeparator" w:id="0">
    <w:p w:rsidR="007F3CE6" w:rsidRPr="005B205A" w:rsidRDefault="007F3CE6" w:rsidP="00E565BC">
      <w:pPr>
        <w:spacing w:after="0" w:line="240" w:lineRule="auto"/>
        <w:rPr>
          <w:rFonts w:ascii="Times New Roman" w:hAnsi="Times New Roman"/>
          <w:sz w:val="24"/>
          <w:szCs w:val="24"/>
          <w:lang w:val="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CE6" w:rsidRPr="005B205A" w:rsidRDefault="007F3CE6" w:rsidP="00E565BC">
      <w:pPr>
        <w:spacing w:after="0" w:line="240" w:lineRule="auto"/>
        <w:rPr>
          <w:rFonts w:ascii="Times New Roman" w:hAnsi="Times New Roman"/>
          <w:sz w:val="24"/>
          <w:szCs w:val="24"/>
          <w:lang w:val="en-US"/>
        </w:rPr>
      </w:pPr>
      <w:r>
        <w:separator/>
      </w:r>
    </w:p>
  </w:footnote>
  <w:footnote w:type="continuationSeparator" w:id="0">
    <w:p w:rsidR="007F3CE6" w:rsidRPr="005B205A" w:rsidRDefault="007F3CE6" w:rsidP="00E565BC">
      <w:pPr>
        <w:spacing w:after="0" w:line="240" w:lineRule="auto"/>
        <w:rPr>
          <w:rFonts w:ascii="Times New Roman" w:hAnsi="Times New Roman"/>
          <w:sz w:val="24"/>
          <w:szCs w:val="24"/>
          <w:lang w:val="en-US"/>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5BC" w:rsidRPr="00D45607" w:rsidRDefault="00E930EA" w:rsidP="00E565BC">
    <w:pPr>
      <w:pStyle w:val="Footer"/>
      <w:tabs>
        <w:tab w:val="clear" w:pos="4680"/>
        <w:tab w:val="center" w:pos="5040"/>
      </w:tabs>
      <w:rPr>
        <w:rFonts w:ascii="Arial" w:hAnsi="Arial" w:cs="Arial"/>
        <w:sz w:val="20"/>
        <w:szCs w:val="20"/>
      </w:rPr>
    </w:pPr>
    <w:r>
      <w:rPr>
        <w:rFonts w:ascii="Arial" w:hAnsi="Arial" w:cs="Arial"/>
        <w:sz w:val="20"/>
        <w:szCs w:val="20"/>
      </w:rPr>
      <w:t>Social Studies 9: Unit</w:t>
    </w:r>
    <w:r w:rsidR="00E565BC">
      <w:rPr>
        <w:rFonts w:ascii="Arial" w:hAnsi="Arial" w:cs="Arial"/>
        <w:sz w:val="20"/>
        <w:szCs w:val="20"/>
      </w:rPr>
      <w:t xml:space="preserve"> 3</w:t>
    </w:r>
    <w:r>
      <w:rPr>
        <w:rFonts w:ascii="Arial" w:hAnsi="Arial" w:cs="Arial"/>
        <w:sz w:val="20"/>
        <w:szCs w:val="20"/>
      </w:rPr>
      <w:t>,</w:t>
    </w:r>
    <w:r w:rsidR="00E565BC">
      <w:rPr>
        <w:rFonts w:ascii="Arial" w:hAnsi="Arial" w:cs="Arial"/>
        <w:sz w:val="20"/>
        <w:szCs w:val="20"/>
      </w:rPr>
      <w:t xml:space="preserve"> Section 2</w:t>
    </w:r>
    <w:r w:rsidR="00E565BC" w:rsidRPr="00D45607">
      <w:rPr>
        <w:rFonts w:ascii="Arial" w:hAnsi="Arial" w:cs="Arial"/>
        <w:sz w:val="20"/>
        <w:szCs w:val="20"/>
      </w:rPr>
      <w:tab/>
    </w:r>
    <w:r w:rsidR="00E565BC" w:rsidRPr="00D45607">
      <w:rPr>
        <w:rStyle w:val="PageNumber"/>
        <w:rFonts w:ascii="Arial" w:hAnsi="Arial" w:cs="Arial"/>
        <w:sz w:val="20"/>
        <w:szCs w:val="20"/>
      </w:rPr>
      <w:fldChar w:fldCharType="begin"/>
    </w:r>
    <w:r w:rsidR="00E565BC" w:rsidRPr="00D45607">
      <w:rPr>
        <w:rStyle w:val="PageNumber"/>
        <w:rFonts w:ascii="Arial" w:hAnsi="Arial" w:cs="Arial"/>
        <w:sz w:val="20"/>
        <w:szCs w:val="20"/>
      </w:rPr>
      <w:instrText xml:space="preserve"> PAGE </w:instrText>
    </w:r>
    <w:r w:rsidR="00E565BC" w:rsidRPr="00D45607">
      <w:rPr>
        <w:rStyle w:val="PageNumber"/>
        <w:rFonts w:ascii="Arial" w:hAnsi="Arial" w:cs="Arial"/>
        <w:sz w:val="20"/>
        <w:szCs w:val="20"/>
      </w:rPr>
      <w:fldChar w:fldCharType="separate"/>
    </w:r>
    <w:r w:rsidR="008C7879">
      <w:rPr>
        <w:rStyle w:val="PageNumber"/>
        <w:rFonts w:ascii="Arial" w:hAnsi="Arial" w:cs="Arial"/>
        <w:noProof/>
        <w:sz w:val="20"/>
        <w:szCs w:val="20"/>
      </w:rPr>
      <w:t>1</w:t>
    </w:r>
    <w:r w:rsidR="00E565BC" w:rsidRPr="00D45607">
      <w:rPr>
        <w:rStyle w:val="PageNumber"/>
        <w:rFonts w:ascii="Arial" w:hAnsi="Arial" w:cs="Arial"/>
        <w:sz w:val="20"/>
        <w:szCs w:val="20"/>
      </w:rPr>
      <w:fldChar w:fldCharType="end"/>
    </w:r>
    <w:r w:rsidR="00E565BC" w:rsidRPr="00D45607">
      <w:rPr>
        <w:rStyle w:val="PageNumber"/>
        <w:rFonts w:ascii="Arial" w:hAnsi="Arial" w:cs="Arial"/>
        <w:sz w:val="20"/>
        <w:szCs w:val="20"/>
      </w:rPr>
      <w:tab/>
    </w:r>
    <w:r w:rsidR="00E565BC">
      <w:rPr>
        <w:rStyle w:val="PageNumber"/>
        <w:rFonts w:ascii="Arial" w:hAnsi="Arial" w:cs="Arial"/>
        <w:sz w:val="20"/>
        <w:szCs w:val="20"/>
      </w:rPr>
      <w:t>Activity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AA6"/>
    <w:rsid w:val="00153320"/>
    <w:rsid w:val="001B7AF4"/>
    <w:rsid w:val="00203E4F"/>
    <w:rsid w:val="00250B8B"/>
    <w:rsid w:val="00280A04"/>
    <w:rsid w:val="002D43D0"/>
    <w:rsid w:val="003379BA"/>
    <w:rsid w:val="00395548"/>
    <w:rsid w:val="003D126B"/>
    <w:rsid w:val="00475FA1"/>
    <w:rsid w:val="004C022D"/>
    <w:rsid w:val="004D5DD3"/>
    <w:rsid w:val="0051087B"/>
    <w:rsid w:val="00510AEC"/>
    <w:rsid w:val="005479A7"/>
    <w:rsid w:val="00585271"/>
    <w:rsid w:val="005B5FAB"/>
    <w:rsid w:val="005D1AA6"/>
    <w:rsid w:val="005E0BDF"/>
    <w:rsid w:val="00602560"/>
    <w:rsid w:val="006556A6"/>
    <w:rsid w:val="00664FB7"/>
    <w:rsid w:val="00674C65"/>
    <w:rsid w:val="006A6F59"/>
    <w:rsid w:val="006B3E36"/>
    <w:rsid w:val="006D48EC"/>
    <w:rsid w:val="006D720D"/>
    <w:rsid w:val="006F0C64"/>
    <w:rsid w:val="00705AC3"/>
    <w:rsid w:val="007436A0"/>
    <w:rsid w:val="00790A71"/>
    <w:rsid w:val="007B7F90"/>
    <w:rsid w:val="007F3CE6"/>
    <w:rsid w:val="00863665"/>
    <w:rsid w:val="0086477F"/>
    <w:rsid w:val="00885DB4"/>
    <w:rsid w:val="008C2A16"/>
    <w:rsid w:val="008C7879"/>
    <w:rsid w:val="008D6763"/>
    <w:rsid w:val="00937456"/>
    <w:rsid w:val="009B1E41"/>
    <w:rsid w:val="00A644B4"/>
    <w:rsid w:val="00A83096"/>
    <w:rsid w:val="00A978F8"/>
    <w:rsid w:val="00B47BEF"/>
    <w:rsid w:val="00B74CD2"/>
    <w:rsid w:val="00CB7CCE"/>
    <w:rsid w:val="00CF1CAB"/>
    <w:rsid w:val="00CF2C7E"/>
    <w:rsid w:val="00D0556C"/>
    <w:rsid w:val="00D85915"/>
    <w:rsid w:val="00DE549F"/>
    <w:rsid w:val="00E10446"/>
    <w:rsid w:val="00E13E17"/>
    <w:rsid w:val="00E565BC"/>
    <w:rsid w:val="00E930EA"/>
    <w:rsid w:val="00EB7766"/>
    <w:rsid w:val="00EF2BB2"/>
    <w:rsid w:val="00F67A26"/>
    <w:rsid w:val="00FA65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5"/>
    <w:pPr>
      <w:spacing w:after="200" w:line="276" w:lineRule="auto"/>
    </w:pPr>
    <w:rPr>
      <w:sz w:val="22"/>
      <w:szCs w:val="22"/>
      <w:lang w:eastAsia="en-US"/>
    </w:rPr>
  </w:style>
  <w:style w:type="paragraph" w:styleId="Heading6">
    <w:name w:val="heading 6"/>
    <w:basedOn w:val="Normal"/>
    <w:link w:val="Heading6Char"/>
    <w:uiPriority w:val="9"/>
    <w:qFormat/>
    <w:rsid w:val="005D1AA6"/>
    <w:pPr>
      <w:spacing w:before="100" w:beforeAutospacing="1" w:after="100" w:afterAutospacing="1" w:line="240" w:lineRule="auto"/>
      <w:outlineLvl w:val="5"/>
    </w:pPr>
    <w:rPr>
      <w:rFonts w:ascii="Times New Roman" w:eastAsia="Times New Roman" w:hAnsi="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
    <w:rsid w:val="005D1AA6"/>
    <w:rPr>
      <w:rFonts w:ascii="Times New Roman" w:eastAsia="Times New Roman" w:hAnsi="Times New Roman" w:cs="Times New Roman"/>
      <w:b/>
      <w:bCs/>
      <w:sz w:val="15"/>
      <w:szCs w:val="15"/>
    </w:rPr>
  </w:style>
  <w:style w:type="character" w:styleId="Hyperlink">
    <w:name w:val="Hyperlink"/>
    <w:uiPriority w:val="99"/>
    <w:semiHidden/>
    <w:unhideWhenUsed/>
    <w:rsid w:val="005D1AA6"/>
    <w:rPr>
      <w:color w:val="3366CC"/>
      <w:u w:val="single"/>
    </w:rPr>
  </w:style>
  <w:style w:type="paragraph" w:styleId="NormalWeb">
    <w:name w:val="Normal (Web)"/>
    <w:basedOn w:val="Normal"/>
    <w:uiPriority w:val="99"/>
    <w:unhideWhenUsed/>
    <w:rsid w:val="005D1AA6"/>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uiPriority w:val="22"/>
    <w:qFormat/>
    <w:rsid w:val="005D1AA6"/>
    <w:rPr>
      <w:b/>
      <w:bCs/>
    </w:rPr>
  </w:style>
  <w:style w:type="paragraph" w:customStyle="1" w:styleId="credit">
    <w:name w:val="credit"/>
    <w:basedOn w:val="Normal"/>
    <w:rsid w:val="005D1AA6"/>
    <w:pPr>
      <w:spacing w:before="100" w:beforeAutospacing="1" w:after="100" w:afterAutospacing="1" w:line="240" w:lineRule="auto"/>
    </w:pPr>
    <w:rPr>
      <w:rFonts w:ascii="Times New Roman" w:eastAsia="Times New Roman" w:hAnsi="Times New Roman"/>
      <w:sz w:val="24"/>
      <w:szCs w:val="24"/>
      <w:lang w:val="en-US"/>
    </w:rPr>
  </w:style>
  <w:style w:type="character" w:styleId="Emphasis">
    <w:name w:val="Emphasis"/>
    <w:uiPriority w:val="20"/>
    <w:qFormat/>
    <w:rsid w:val="005D1AA6"/>
    <w:rPr>
      <w:i/>
      <w:iCs/>
    </w:rPr>
  </w:style>
  <w:style w:type="paragraph" w:styleId="BalloonText">
    <w:name w:val="Balloon Text"/>
    <w:basedOn w:val="Normal"/>
    <w:link w:val="BalloonTextChar"/>
    <w:uiPriority w:val="99"/>
    <w:semiHidden/>
    <w:unhideWhenUsed/>
    <w:rsid w:val="005D1AA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1AA6"/>
    <w:rPr>
      <w:rFonts w:ascii="Tahoma" w:hAnsi="Tahoma" w:cs="Tahoma"/>
      <w:sz w:val="16"/>
      <w:szCs w:val="16"/>
      <w:lang w:val="en-CA"/>
    </w:rPr>
  </w:style>
  <w:style w:type="paragraph" w:styleId="Header">
    <w:name w:val="header"/>
    <w:basedOn w:val="Normal"/>
    <w:link w:val="HeaderChar"/>
    <w:uiPriority w:val="99"/>
    <w:unhideWhenUsed/>
    <w:rsid w:val="00E565BC"/>
    <w:pPr>
      <w:tabs>
        <w:tab w:val="center" w:pos="4680"/>
        <w:tab w:val="right" w:pos="9360"/>
      </w:tabs>
    </w:pPr>
  </w:style>
  <w:style w:type="character" w:customStyle="1" w:styleId="HeaderChar">
    <w:name w:val="Header Char"/>
    <w:link w:val="Header"/>
    <w:uiPriority w:val="99"/>
    <w:rsid w:val="00E565BC"/>
    <w:rPr>
      <w:sz w:val="22"/>
      <w:szCs w:val="22"/>
      <w:lang w:val="en-CA"/>
    </w:rPr>
  </w:style>
  <w:style w:type="paragraph" w:styleId="Footer">
    <w:name w:val="footer"/>
    <w:basedOn w:val="Normal"/>
    <w:link w:val="FooterChar"/>
    <w:unhideWhenUsed/>
    <w:rsid w:val="00E565BC"/>
    <w:pPr>
      <w:tabs>
        <w:tab w:val="center" w:pos="4680"/>
        <w:tab w:val="right" w:pos="9360"/>
      </w:tabs>
    </w:pPr>
  </w:style>
  <w:style w:type="character" w:customStyle="1" w:styleId="FooterChar">
    <w:name w:val="Footer Char"/>
    <w:link w:val="Footer"/>
    <w:uiPriority w:val="99"/>
    <w:rsid w:val="00E565BC"/>
    <w:rPr>
      <w:sz w:val="22"/>
      <w:szCs w:val="22"/>
      <w:lang w:val="en-CA"/>
    </w:rPr>
  </w:style>
  <w:style w:type="character" w:styleId="PageNumber">
    <w:name w:val="page number"/>
    <w:basedOn w:val="DefaultParagraphFont"/>
    <w:rsid w:val="00E565BC"/>
  </w:style>
  <w:style w:type="table" w:styleId="TableGrid">
    <w:name w:val="Table Grid"/>
    <w:basedOn w:val="TableNormal"/>
    <w:uiPriority w:val="59"/>
    <w:rsid w:val="00B47B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
    <w:name w:val="Light Grid"/>
    <w:basedOn w:val="TableNormal"/>
    <w:uiPriority w:val="62"/>
    <w:rsid w:val="005479A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
    <w:name w:val="Medium Grid 1"/>
    <w:basedOn w:val="TableNormal"/>
    <w:uiPriority w:val="67"/>
    <w:rsid w:val="005479A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Shading-Accent1">
    <w:name w:val="Light Shading Accent 1"/>
    <w:basedOn w:val="TableNormal"/>
    <w:uiPriority w:val="60"/>
    <w:rsid w:val="005479A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5479A7"/>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5479A7"/>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
    <w:name w:val="Light List"/>
    <w:basedOn w:val="TableNormal"/>
    <w:uiPriority w:val="61"/>
    <w:rsid w:val="005479A7"/>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5"/>
    <w:pPr>
      <w:spacing w:after="200" w:line="276" w:lineRule="auto"/>
    </w:pPr>
    <w:rPr>
      <w:sz w:val="22"/>
      <w:szCs w:val="22"/>
      <w:lang w:eastAsia="en-US"/>
    </w:rPr>
  </w:style>
  <w:style w:type="paragraph" w:styleId="Heading6">
    <w:name w:val="heading 6"/>
    <w:basedOn w:val="Normal"/>
    <w:link w:val="Heading6Char"/>
    <w:uiPriority w:val="9"/>
    <w:qFormat/>
    <w:rsid w:val="005D1AA6"/>
    <w:pPr>
      <w:spacing w:before="100" w:beforeAutospacing="1" w:after="100" w:afterAutospacing="1" w:line="240" w:lineRule="auto"/>
      <w:outlineLvl w:val="5"/>
    </w:pPr>
    <w:rPr>
      <w:rFonts w:ascii="Times New Roman" w:eastAsia="Times New Roman" w:hAnsi="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
    <w:rsid w:val="005D1AA6"/>
    <w:rPr>
      <w:rFonts w:ascii="Times New Roman" w:eastAsia="Times New Roman" w:hAnsi="Times New Roman" w:cs="Times New Roman"/>
      <w:b/>
      <w:bCs/>
      <w:sz w:val="15"/>
      <w:szCs w:val="15"/>
    </w:rPr>
  </w:style>
  <w:style w:type="character" w:styleId="Hyperlink">
    <w:name w:val="Hyperlink"/>
    <w:uiPriority w:val="99"/>
    <w:semiHidden/>
    <w:unhideWhenUsed/>
    <w:rsid w:val="005D1AA6"/>
    <w:rPr>
      <w:color w:val="3366CC"/>
      <w:u w:val="single"/>
    </w:rPr>
  </w:style>
  <w:style w:type="paragraph" w:styleId="NormalWeb">
    <w:name w:val="Normal (Web)"/>
    <w:basedOn w:val="Normal"/>
    <w:uiPriority w:val="99"/>
    <w:unhideWhenUsed/>
    <w:rsid w:val="005D1AA6"/>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uiPriority w:val="22"/>
    <w:qFormat/>
    <w:rsid w:val="005D1AA6"/>
    <w:rPr>
      <w:b/>
      <w:bCs/>
    </w:rPr>
  </w:style>
  <w:style w:type="paragraph" w:customStyle="1" w:styleId="credit">
    <w:name w:val="credit"/>
    <w:basedOn w:val="Normal"/>
    <w:rsid w:val="005D1AA6"/>
    <w:pPr>
      <w:spacing w:before="100" w:beforeAutospacing="1" w:after="100" w:afterAutospacing="1" w:line="240" w:lineRule="auto"/>
    </w:pPr>
    <w:rPr>
      <w:rFonts w:ascii="Times New Roman" w:eastAsia="Times New Roman" w:hAnsi="Times New Roman"/>
      <w:sz w:val="24"/>
      <w:szCs w:val="24"/>
      <w:lang w:val="en-US"/>
    </w:rPr>
  </w:style>
  <w:style w:type="character" w:styleId="Emphasis">
    <w:name w:val="Emphasis"/>
    <w:uiPriority w:val="20"/>
    <w:qFormat/>
    <w:rsid w:val="005D1AA6"/>
    <w:rPr>
      <w:i/>
      <w:iCs/>
    </w:rPr>
  </w:style>
  <w:style w:type="paragraph" w:styleId="BalloonText">
    <w:name w:val="Balloon Text"/>
    <w:basedOn w:val="Normal"/>
    <w:link w:val="BalloonTextChar"/>
    <w:uiPriority w:val="99"/>
    <w:semiHidden/>
    <w:unhideWhenUsed/>
    <w:rsid w:val="005D1AA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1AA6"/>
    <w:rPr>
      <w:rFonts w:ascii="Tahoma" w:hAnsi="Tahoma" w:cs="Tahoma"/>
      <w:sz w:val="16"/>
      <w:szCs w:val="16"/>
      <w:lang w:val="en-CA"/>
    </w:rPr>
  </w:style>
  <w:style w:type="paragraph" w:styleId="Header">
    <w:name w:val="header"/>
    <w:basedOn w:val="Normal"/>
    <w:link w:val="HeaderChar"/>
    <w:uiPriority w:val="99"/>
    <w:unhideWhenUsed/>
    <w:rsid w:val="00E565BC"/>
    <w:pPr>
      <w:tabs>
        <w:tab w:val="center" w:pos="4680"/>
        <w:tab w:val="right" w:pos="9360"/>
      </w:tabs>
    </w:pPr>
  </w:style>
  <w:style w:type="character" w:customStyle="1" w:styleId="HeaderChar">
    <w:name w:val="Header Char"/>
    <w:link w:val="Header"/>
    <w:uiPriority w:val="99"/>
    <w:rsid w:val="00E565BC"/>
    <w:rPr>
      <w:sz w:val="22"/>
      <w:szCs w:val="22"/>
      <w:lang w:val="en-CA"/>
    </w:rPr>
  </w:style>
  <w:style w:type="paragraph" w:styleId="Footer">
    <w:name w:val="footer"/>
    <w:basedOn w:val="Normal"/>
    <w:link w:val="FooterChar"/>
    <w:unhideWhenUsed/>
    <w:rsid w:val="00E565BC"/>
    <w:pPr>
      <w:tabs>
        <w:tab w:val="center" w:pos="4680"/>
        <w:tab w:val="right" w:pos="9360"/>
      </w:tabs>
    </w:pPr>
  </w:style>
  <w:style w:type="character" w:customStyle="1" w:styleId="FooterChar">
    <w:name w:val="Footer Char"/>
    <w:link w:val="Footer"/>
    <w:uiPriority w:val="99"/>
    <w:rsid w:val="00E565BC"/>
    <w:rPr>
      <w:sz w:val="22"/>
      <w:szCs w:val="22"/>
      <w:lang w:val="en-CA"/>
    </w:rPr>
  </w:style>
  <w:style w:type="character" w:styleId="PageNumber">
    <w:name w:val="page number"/>
    <w:basedOn w:val="DefaultParagraphFont"/>
    <w:rsid w:val="00E565BC"/>
  </w:style>
  <w:style w:type="table" w:styleId="TableGrid">
    <w:name w:val="Table Grid"/>
    <w:basedOn w:val="TableNormal"/>
    <w:uiPriority w:val="59"/>
    <w:rsid w:val="00B47B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
    <w:name w:val="Light Grid"/>
    <w:basedOn w:val="TableNormal"/>
    <w:uiPriority w:val="62"/>
    <w:rsid w:val="005479A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
    <w:name w:val="Medium Grid 1"/>
    <w:basedOn w:val="TableNormal"/>
    <w:uiPriority w:val="67"/>
    <w:rsid w:val="005479A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Shading-Accent1">
    <w:name w:val="Light Shading Accent 1"/>
    <w:basedOn w:val="TableNormal"/>
    <w:uiPriority w:val="60"/>
    <w:rsid w:val="005479A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5479A7"/>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5479A7"/>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
    <w:name w:val="Light List"/>
    <w:basedOn w:val="TableNormal"/>
    <w:uiPriority w:val="61"/>
    <w:rsid w:val="005479A7"/>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858257">
      <w:bodyDiv w:val="1"/>
      <w:marLeft w:val="0"/>
      <w:marRight w:val="0"/>
      <w:marTop w:val="0"/>
      <w:marBottom w:val="0"/>
      <w:divBdr>
        <w:top w:val="none" w:sz="0" w:space="0" w:color="auto"/>
        <w:left w:val="none" w:sz="0" w:space="0" w:color="auto"/>
        <w:bottom w:val="none" w:sz="0" w:space="0" w:color="auto"/>
        <w:right w:val="none" w:sz="0" w:space="0" w:color="auto"/>
      </w:divBdr>
      <w:divsChild>
        <w:div w:id="833649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18" Type="http://schemas.openxmlformats.org/officeDocument/2006/relationships/hyperlink" Target="http://www12.statcan.ca/english/census01/teacher%27s_kit/activity10_chart4.cfm"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12.statcan.ca/english/census01/teacher%27s_kit/activity10_table2.cfm" TargetMode="External"/><Relationship Id="rId17"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hyperlink" Target="http://www12.statcan.ca/english/census01/teacher%27s_kit/activity10_chart3.cfm" TargetMode="External"/><Relationship Id="rId20" Type="http://schemas.openxmlformats.org/officeDocument/2006/relationships/hyperlink" Target="http://www.statcan.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2.statcan.ca/english/census01/teacher%27s_kit/activity10_map.cfm" TargetMode="Externa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12.statcan.ca/english/census01/teacher%27s_kit/teacher%27s_guide.cfm" TargetMode="External"/><Relationship Id="rId4" Type="http://schemas.openxmlformats.org/officeDocument/2006/relationships/settings" Target="settings.xml"/><Relationship Id="rId9" Type="http://schemas.openxmlformats.org/officeDocument/2006/relationships/hyperlink" Target="http://www12.statcan.ca/english/census01/teacher%27s_kit/activity10_chart1.cfm" TargetMode="External"/><Relationship Id="rId14" Type="http://schemas.openxmlformats.org/officeDocument/2006/relationships/hyperlink" Target="http://www12.statcan.ca/english/census01/teacher%27s_kit/activity10_chart2.cfm"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274151436031325E-2"/>
          <c:y val="6.8235294117647047E-2"/>
          <c:w val="0.92167101827676245"/>
          <c:h val="0.79764705882352949"/>
        </c:manualLayout>
      </c:layout>
      <c:lineChart>
        <c:grouping val="standard"/>
        <c:varyColors val="0"/>
        <c:ser>
          <c:idx val="0"/>
          <c:order val="0"/>
          <c:tx>
            <c:strRef>
              <c:f>Sheet1!$A$2</c:f>
              <c:strCache>
                <c:ptCount val="1"/>
              </c:strCache>
            </c:strRef>
          </c:tx>
          <c:spPr>
            <a:ln w="12678">
              <a:solidFill>
                <a:srgbClr val="000000"/>
              </a:solidFill>
              <a:prstDash val="solid"/>
            </a:ln>
          </c:spPr>
          <c:marker>
            <c:symbol val="circle"/>
            <c:size val="4"/>
            <c:spPr>
              <a:solidFill>
                <a:srgbClr val="000000"/>
              </a:solidFill>
              <a:ln>
                <a:solidFill>
                  <a:srgbClr val="000000"/>
                </a:solidFill>
                <a:prstDash val="solid"/>
              </a:ln>
            </c:spPr>
          </c:marker>
          <c:cat>
            <c:numRef>
              <c:f>Sheet1!$B$1:$L$1</c:f>
              <c:numCache>
                <c:formatCode>General</c:formatCode>
                <c:ptCount val="11"/>
                <c:pt idx="0">
                  <c:v>1901</c:v>
                </c:pt>
                <c:pt idx="1">
                  <c:v>1911</c:v>
                </c:pt>
                <c:pt idx="2">
                  <c:v>1921</c:v>
                </c:pt>
                <c:pt idx="3">
                  <c:v>1931</c:v>
                </c:pt>
                <c:pt idx="4">
                  <c:v>1941</c:v>
                </c:pt>
                <c:pt idx="5">
                  <c:v>1951</c:v>
                </c:pt>
                <c:pt idx="6">
                  <c:v>1961</c:v>
                </c:pt>
                <c:pt idx="7">
                  <c:v>1971</c:v>
                </c:pt>
                <c:pt idx="8">
                  <c:v>1981</c:v>
                </c:pt>
                <c:pt idx="9">
                  <c:v>1991</c:v>
                </c:pt>
                <c:pt idx="10">
                  <c:v>2001</c:v>
                </c:pt>
              </c:numCache>
            </c:numRef>
          </c:cat>
          <c:val>
            <c:numRef>
              <c:f>Sheet1!$B$2:$L$2</c:f>
              <c:numCache>
                <c:formatCode>General</c:formatCode>
                <c:ptCount val="11"/>
                <c:pt idx="0">
                  <c:v>13</c:v>
                </c:pt>
                <c:pt idx="1">
                  <c:v>22</c:v>
                </c:pt>
                <c:pt idx="2">
                  <c:v>22.3</c:v>
                </c:pt>
                <c:pt idx="3">
                  <c:v>22.2</c:v>
                </c:pt>
                <c:pt idx="4">
                  <c:v>17.5</c:v>
                </c:pt>
              </c:numCache>
            </c:numRef>
          </c:val>
          <c:smooth val="0"/>
        </c:ser>
        <c:dLbls>
          <c:showLegendKey val="0"/>
          <c:showVal val="0"/>
          <c:showCatName val="0"/>
          <c:showSerName val="0"/>
          <c:showPercent val="0"/>
          <c:showBubbleSize val="0"/>
        </c:dLbls>
        <c:marker val="1"/>
        <c:smooth val="0"/>
        <c:axId val="43662336"/>
        <c:axId val="44250240"/>
      </c:lineChart>
      <c:catAx>
        <c:axId val="43662336"/>
        <c:scaling>
          <c:orientation val="minMax"/>
        </c:scaling>
        <c:delete val="0"/>
        <c:axPos val="b"/>
        <c:numFmt formatCode="General" sourceLinked="1"/>
        <c:majorTickMark val="out"/>
        <c:minorTickMark val="none"/>
        <c:tickLblPos val="nextTo"/>
        <c:spPr>
          <a:ln w="3170">
            <a:solidFill>
              <a:srgbClr val="000000"/>
            </a:solidFill>
            <a:prstDash val="solid"/>
          </a:ln>
        </c:spPr>
        <c:txPr>
          <a:bodyPr rot="0" vert="horz"/>
          <a:lstStyle/>
          <a:p>
            <a:pPr>
              <a:defRPr sz="1123" b="0" i="0" u="none" strike="noStrike" baseline="0">
                <a:solidFill>
                  <a:srgbClr val="000000"/>
                </a:solidFill>
                <a:latin typeface="Calibri"/>
                <a:ea typeface="Calibri"/>
                <a:cs typeface="Calibri"/>
              </a:defRPr>
            </a:pPr>
            <a:endParaRPr lang="en-US"/>
          </a:p>
        </c:txPr>
        <c:crossAx val="44250240"/>
        <c:crosses val="autoZero"/>
        <c:auto val="1"/>
        <c:lblAlgn val="ctr"/>
        <c:lblOffset val="100"/>
        <c:tickLblSkip val="1"/>
        <c:tickMarkSkip val="1"/>
        <c:noMultiLvlLbl val="0"/>
      </c:catAx>
      <c:valAx>
        <c:axId val="44250240"/>
        <c:scaling>
          <c:orientation val="minMax"/>
        </c:scaling>
        <c:delete val="0"/>
        <c:axPos val="l"/>
        <c:majorGridlines>
          <c:spPr>
            <a:ln w="3170">
              <a:solidFill>
                <a:srgbClr val="000000"/>
              </a:solidFill>
              <a:prstDash val="solid"/>
            </a:ln>
          </c:spPr>
        </c:majorGridlines>
        <c:numFmt formatCode="General" sourceLinked="1"/>
        <c:majorTickMark val="out"/>
        <c:minorTickMark val="none"/>
        <c:tickLblPos val="nextTo"/>
        <c:spPr>
          <a:ln w="3170">
            <a:solidFill>
              <a:srgbClr val="000000"/>
            </a:solidFill>
            <a:prstDash val="solid"/>
          </a:ln>
        </c:spPr>
        <c:txPr>
          <a:bodyPr rot="0" vert="horz"/>
          <a:lstStyle/>
          <a:p>
            <a:pPr>
              <a:defRPr sz="1123" b="0" i="0" u="none" strike="noStrike" baseline="0">
                <a:solidFill>
                  <a:srgbClr val="000000"/>
                </a:solidFill>
                <a:latin typeface="Calibri"/>
                <a:ea typeface="Calibri"/>
                <a:cs typeface="Calibri"/>
              </a:defRPr>
            </a:pPr>
            <a:endParaRPr lang="en-US"/>
          </a:p>
        </c:txPr>
        <c:crossAx val="43662336"/>
        <c:crosses val="autoZero"/>
        <c:crossBetween val="between"/>
      </c:valAx>
      <c:spPr>
        <a:noFill/>
        <a:ln w="12678">
          <a:solidFill>
            <a:srgbClr val="FFFFFF"/>
          </a:solidFill>
          <a:prstDash val="solid"/>
        </a:ln>
      </c:spPr>
    </c:plotArea>
    <c:plotVisOnly val="1"/>
    <c:dispBlanksAs val="gap"/>
    <c:showDLblsOverMax val="0"/>
  </c:chart>
  <c:spPr>
    <a:noFill/>
    <a:ln>
      <a:noFill/>
    </a:ln>
  </c:spPr>
  <c:txPr>
    <a:bodyPr/>
    <a:lstStyle/>
    <a:p>
      <a:pPr>
        <a:defRPr sz="1123" b="1"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94043092522179"/>
          <c:y val="5.9730250481695564E-2"/>
          <c:w val="0.6197718631178708"/>
          <c:h val="0.77649325626204235"/>
        </c:manualLayout>
      </c:layout>
      <c:barChart>
        <c:barDir val="col"/>
        <c:grouping val="percentStacked"/>
        <c:varyColors val="0"/>
        <c:ser>
          <c:idx val="0"/>
          <c:order val="0"/>
          <c:tx>
            <c:strRef>
              <c:f>Sheet1!$A$2</c:f>
              <c:strCache>
                <c:ptCount val="1"/>
                <c:pt idx="0">
                  <c:v>1. United States</c:v>
                </c:pt>
              </c:strCache>
            </c:strRef>
          </c:tx>
          <c:spPr>
            <a:solidFill>
              <a:srgbClr val="FFFFFF"/>
            </a:solidFill>
            <a:ln w="12688">
              <a:solidFill>
                <a:srgbClr val="000000"/>
              </a:solidFill>
              <a:prstDash val="solid"/>
            </a:ln>
          </c:spPr>
          <c:invertIfNegative val="0"/>
          <c:dLbls>
            <c:dLbl>
              <c:idx val="0"/>
              <c:tx>
                <c:rich>
                  <a:bodyPr/>
                  <a:lstStyle/>
                  <a:p>
                    <a:pPr>
                      <a:defRPr sz="799" b="1" i="0" u="none" strike="noStrike" baseline="0">
                        <a:solidFill>
                          <a:srgbClr val="000000"/>
                        </a:solidFill>
                        <a:latin typeface="Calibri"/>
                        <a:ea typeface="Calibri"/>
                        <a:cs typeface="Calibri"/>
                      </a:defRPr>
                    </a:pPr>
                    <a:r>
                      <a:t>1</a:t>
                    </a:r>
                  </a:p>
                </c:rich>
              </c:tx>
              <c:spPr>
                <a:noFill/>
                <a:ln w="25376">
                  <a:noFill/>
                </a:ln>
              </c:spPr>
              <c:showLegendKey val="0"/>
              <c:showVal val="0"/>
              <c:showCatName val="0"/>
              <c:showSerName val="0"/>
              <c:showPercent val="0"/>
              <c:showBubbleSize val="0"/>
            </c:dLbl>
            <c:numFmt formatCode="General" sourceLinked="0"/>
            <c:spPr>
              <a:noFill/>
              <a:ln w="25376">
                <a:noFill/>
              </a:ln>
            </c:spPr>
            <c:txPr>
              <a:bodyPr/>
              <a:lstStyle/>
              <a:p>
                <a:pPr>
                  <a:defRPr sz="1099"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Sheet1!$B$1:$G$1</c:f>
              <c:strCache>
                <c:ptCount val="6"/>
                <c:pt idx="0">
                  <c:v>Total</c:v>
                </c:pt>
                <c:pt idx="1">
                  <c:v>Before 1961</c:v>
                </c:pt>
                <c:pt idx="2">
                  <c:v>1961 -1970</c:v>
                </c:pt>
                <c:pt idx="3">
                  <c:v>1971 -1980</c:v>
                </c:pt>
                <c:pt idx="4">
                  <c:v>1981 -1990</c:v>
                </c:pt>
                <c:pt idx="5">
                  <c:v>1991 -2001</c:v>
                </c:pt>
              </c:strCache>
            </c:strRef>
          </c:cat>
          <c:val>
            <c:numRef>
              <c:f>Sheet1!$B$2:$G$2</c:f>
              <c:numCache>
                <c:formatCode>General</c:formatCode>
                <c:ptCount val="6"/>
                <c:pt idx="0">
                  <c:v>4.4000000000000004</c:v>
                </c:pt>
              </c:numCache>
            </c:numRef>
          </c:val>
        </c:ser>
        <c:ser>
          <c:idx val="1"/>
          <c:order val="1"/>
          <c:tx>
            <c:strRef>
              <c:f>Sheet1!$A$3</c:f>
              <c:strCache>
                <c:ptCount val="1"/>
                <c:pt idx="0">
                  <c:v>2. Europe</c:v>
                </c:pt>
              </c:strCache>
            </c:strRef>
          </c:tx>
          <c:spPr>
            <a:solidFill>
              <a:srgbClr val="FFFFFF"/>
            </a:solidFill>
            <a:ln w="12688">
              <a:solidFill>
                <a:srgbClr val="000000"/>
              </a:solidFill>
              <a:prstDash val="solid"/>
            </a:ln>
          </c:spPr>
          <c:invertIfNegative val="0"/>
          <c:dLbls>
            <c:dLbl>
              <c:idx val="0"/>
              <c:tx>
                <c:rich>
                  <a:bodyPr/>
                  <a:lstStyle/>
                  <a:p>
                    <a:pPr>
                      <a:defRPr sz="799" b="1" i="0" u="none" strike="noStrike" baseline="0">
                        <a:solidFill>
                          <a:srgbClr val="000000"/>
                        </a:solidFill>
                        <a:latin typeface="Calibri"/>
                        <a:ea typeface="Calibri"/>
                        <a:cs typeface="Calibri"/>
                      </a:defRPr>
                    </a:pPr>
                    <a:r>
                      <a:t>2</a:t>
                    </a:r>
                  </a:p>
                </c:rich>
              </c:tx>
              <c:spPr>
                <a:noFill/>
                <a:ln w="25376">
                  <a:noFill/>
                </a:ln>
              </c:spPr>
              <c:showLegendKey val="0"/>
              <c:showVal val="0"/>
              <c:showCatName val="0"/>
              <c:showSerName val="0"/>
              <c:showPercent val="0"/>
              <c:showBubbleSize val="0"/>
            </c:dLbl>
            <c:dLbl>
              <c:idx val="1"/>
              <c:delete val="1"/>
            </c:dLbl>
            <c:dLbl>
              <c:idx val="2"/>
              <c:delete val="1"/>
            </c:dLbl>
            <c:dLbl>
              <c:idx val="3"/>
              <c:delete val="1"/>
            </c:dLbl>
            <c:dLbl>
              <c:idx val="4"/>
              <c:delete val="1"/>
            </c:dLbl>
            <c:dLbl>
              <c:idx val="5"/>
              <c:delete val="1"/>
            </c:dLbl>
            <c:numFmt formatCode="@" sourceLinked="0"/>
            <c:spPr>
              <a:noFill/>
              <a:ln w="25376">
                <a:noFill/>
              </a:ln>
            </c:spPr>
            <c:txPr>
              <a:bodyPr/>
              <a:lstStyle/>
              <a:p>
                <a:pPr>
                  <a:defRPr sz="799" b="1" i="0" u="none" strike="noStrike" baseline="0">
                    <a:solidFill>
                      <a:srgbClr val="000000"/>
                    </a:solidFill>
                    <a:latin typeface="Calibri"/>
                    <a:ea typeface="Calibri"/>
                    <a:cs typeface="Calibri"/>
                  </a:defRPr>
                </a:pPr>
                <a:endParaRPr lang="en-US"/>
              </a:p>
            </c:txPr>
            <c:showLegendKey val="0"/>
            <c:showVal val="0"/>
            <c:showCatName val="0"/>
            <c:showSerName val="1"/>
            <c:showPercent val="0"/>
            <c:showBubbleSize val="0"/>
            <c:showLeaderLines val="0"/>
          </c:dLbls>
          <c:cat>
            <c:strRef>
              <c:f>Sheet1!$B$1:$G$1</c:f>
              <c:strCache>
                <c:ptCount val="6"/>
                <c:pt idx="0">
                  <c:v>Total</c:v>
                </c:pt>
                <c:pt idx="1">
                  <c:v>Before 1961</c:v>
                </c:pt>
                <c:pt idx="2">
                  <c:v>1961 -1970</c:v>
                </c:pt>
                <c:pt idx="3">
                  <c:v>1971 -1980</c:v>
                </c:pt>
                <c:pt idx="4">
                  <c:v>1981 -1990</c:v>
                </c:pt>
                <c:pt idx="5">
                  <c:v>1991 -2001</c:v>
                </c:pt>
              </c:strCache>
            </c:strRef>
          </c:cat>
          <c:val>
            <c:numRef>
              <c:f>Sheet1!$B$3:$G$3</c:f>
              <c:numCache>
                <c:formatCode>General</c:formatCode>
                <c:ptCount val="6"/>
                <c:pt idx="0">
                  <c:v>42</c:v>
                </c:pt>
              </c:numCache>
            </c:numRef>
          </c:val>
        </c:ser>
        <c:ser>
          <c:idx val="2"/>
          <c:order val="2"/>
          <c:tx>
            <c:strRef>
              <c:f>Sheet1!$A$4</c:f>
              <c:strCache>
                <c:ptCount val="1"/>
                <c:pt idx="0">
                  <c:v>3. Asia</c:v>
                </c:pt>
              </c:strCache>
            </c:strRef>
          </c:tx>
          <c:spPr>
            <a:solidFill>
              <a:srgbClr val="FFFFFF"/>
            </a:solidFill>
            <a:ln w="12688">
              <a:solidFill>
                <a:srgbClr val="000000"/>
              </a:solidFill>
              <a:prstDash val="solid"/>
            </a:ln>
          </c:spPr>
          <c:invertIfNegative val="0"/>
          <c:dLbls>
            <c:dLbl>
              <c:idx val="0"/>
              <c:tx>
                <c:rich>
                  <a:bodyPr/>
                  <a:lstStyle/>
                  <a:p>
                    <a:pPr>
                      <a:defRPr sz="799" b="1" i="0" u="none" strike="noStrike" baseline="0">
                        <a:solidFill>
                          <a:srgbClr val="000000"/>
                        </a:solidFill>
                        <a:latin typeface="Calibri"/>
                        <a:ea typeface="Calibri"/>
                        <a:cs typeface="Calibri"/>
                      </a:defRPr>
                    </a:pPr>
                    <a:r>
                      <a:t>3</a:t>
                    </a:r>
                  </a:p>
                </c:rich>
              </c:tx>
              <c:spPr>
                <a:noFill/>
                <a:ln w="25376">
                  <a:noFill/>
                </a:ln>
              </c:spPr>
              <c:showLegendKey val="0"/>
              <c:showVal val="0"/>
              <c:showCatName val="0"/>
              <c:showSerName val="0"/>
              <c:showPercent val="0"/>
              <c:showBubbleSize val="0"/>
            </c:dLbl>
            <c:showLegendKey val="0"/>
            <c:showVal val="0"/>
            <c:showCatName val="0"/>
            <c:showSerName val="0"/>
            <c:showPercent val="0"/>
            <c:showBubbleSize val="0"/>
          </c:dLbls>
          <c:cat>
            <c:strRef>
              <c:f>Sheet1!$B$1:$G$1</c:f>
              <c:strCache>
                <c:ptCount val="6"/>
                <c:pt idx="0">
                  <c:v>Total</c:v>
                </c:pt>
                <c:pt idx="1">
                  <c:v>Before 1961</c:v>
                </c:pt>
                <c:pt idx="2">
                  <c:v>1961 -1970</c:v>
                </c:pt>
                <c:pt idx="3">
                  <c:v>1971 -1980</c:v>
                </c:pt>
                <c:pt idx="4">
                  <c:v>1981 -1990</c:v>
                </c:pt>
                <c:pt idx="5">
                  <c:v>1991 -2001</c:v>
                </c:pt>
              </c:strCache>
            </c:strRef>
          </c:cat>
          <c:val>
            <c:numRef>
              <c:f>Sheet1!$B$4:$G$4</c:f>
              <c:numCache>
                <c:formatCode>General</c:formatCode>
                <c:ptCount val="6"/>
                <c:pt idx="0">
                  <c:v>36.5</c:v>
                </c:pt>
              </c:numCache>
            </c:numRef>
          </c:val>
        </c:ser>
        <c:ser>
          <c:idx val="3"/>
          <c:order val="3"/>
          <c:tx>
            <c:strRef>
              <c:f>Sheet1!$A$5</c:f>
              <c:strCache>
                <c:ptCount val="1"/>
                <c:pt idx="0">
                  <c:v>4. Africa</c:v>
                </c:pt>
              </c:strCache>
            </c:strRef>
          </c:tx>
          <c:spPr>
            <a:solidFill>
              <a:srgbClr val="FFFFFF"/>
            </a:solidFill>
            <a:ln w="12688">
              <a:solidFill>
                <a:srgbClr val="000000"/>
              </a:solidFill>
              <a:prstDash val="solid"/>
            </a:ln>
          </c:spPr>
          <c:invertIfNegative val="0"/>
          <c:dLbls>
            <c:dLbl>
              <c:idx val="0"/>
              <c:tx>
                <c:rich>
                  <a:bodyPr/>
                  <a:lstStyle/>
                  <a:p>
                    <a:r>
                      <a:t>4</a:t>
                    </a:r>
                  </a:p>
                </c:rich>
              </c:tx>
              <c:showLegendKey val="0"/>
              <c:showVal val="0"/>
              <c:showCatName val="0"/>
              <c:showSerName val="0"/>
              <c:showPercent val="0"/>
              <c:showBubbleSize val="0"/>
            </c:dLbl>
            <c:dLbl>
              <c:idx val="1"/>
              <c:delete val="1"/>
            </c:dLbl>
            <c:dLbl>
              <c:idx val="2"/>
              <c:delete val="1"/>
            </c:dLbl>
            <c:dLbl>
              <c:idx val="3"/>
              <c:delete val="1"/>
            </c:dLbl>
            <c:dLbl>
              <c:idx val="4"/>
              <c:delete val="1"/>
            </c:dLbl>
            <c:dLbl>
              <c:idx val="5"/>
              <c:delete val="1"/>
            </c:dLbl>
            <c:spPr>
              <a:noFill/>
              <a:ln w="25376">
                <a:noFill/>
              </a:ln>
            </c:spPr>
            <c:txPr>
              <a:bodyPr/>
              <a:lstStyle/>
              <a:p>
                <a:pPr>
                  <a:defRPr sz="799" b="1" i="0" u="none" strike="noStrike" baseline="0">
                    <a:solidFill>
                      <a:srgbClr val="000000"/>
                    </a:solidFill>
                    <a:latin typeface="Calibri"/>
                    <a:ea typeface="Calibri"/>
                    <a:cs typeface="Calibri"/>
                  </a:defRPr>
                </a:pPr>
                <a:endParaRPr lang="en-US"/>
              </a:p>
            </c:txPr>
            <c:showLegendKey val="0"/>
            <c:showVal val="0"/>
            <c:showCatName val="0"/>
            <c:showSerName val="1"/>
            <c:showPercent val="0"/>
            <c:showBubbleSize val="0"/>
            <c:showLeaderLines val="0"/>
          </c:dLbls>
          <c:cat>
            <c:strRef>
              <c:f>Sheet1!$B$1:$G$1</c:f>
              <c:strCache>
                <c:ptCount val="6"/>
                <c:pt idx="0">
                  <c:v>Total</c:v>
                </c:pt>
                <c:pt idx="1">
                  <c:v>Before 1961</c:v>
                </c:pt>
                <c:pt idx="2">
                  <c:v>1961 -1970</c:v>
                </c:pt>
                <c:pt idx="3">
                  <c:v>1971 -1980</c:v>
                </c:pt>
                <c:pt idx="4">
                  <c:v>1981 -1990</c:v>
                </c:pt>
                <c:pt idx="5">
                  <c:v>1991 -2001</c:v>
                </c:pt>
              </c:strCache>
            </c:strRef>
          </c:cat>
          <c:val>
            <c:numRef>
              <c:f>Sheet1!$B$5:$G$5</c:f>
              <c:numCache>
                <c:formatCode>General</c:formatCode>
                <c:ptCount val="6"/>
                <c:pt idx="0">
                  <c:v>5.2</c:v>
                </c:pt>
              </c:numCache>
            </c:numRef>
          </c:val>
        </c:ser>
        <c:ser>
          <c:idx val="4"/>
          <c:order val="4"/>
          <c:tx>
            <c:strRef>
              <c:f>Sheet1!$A$6</c:f>
              <c:strCache>
                <c:ptCount val="1"/>
                <c:pt idx="0">
                  <c:v>5. Caribbean, Central and South America</c:v>
                </c:pt>
              </c:strCache>
            </c:strRef>
          </c:tx>
          <c:spPr>
            <a:solidFill>
              <a:srgbClr val="FFFFFF"/>
            </a:solidFill>
            <a:ln w="12688">
              <a:solidFill>
                <a:srgbClr val="000000"/>
              </a:solidFill>
              <a:prstDash val="solid"/>
            </a:ln>
          </c:spPr>
          <c:invertIfNegative val="0"/>
          <c:dLbls>
            <c:dLbl>
              <c:idx val="0"/>
              <c:tx>
                <c:rich>
                  <a:bodyPr/>
                  <a:lstStyle/>
                  <a:p>
                    <a:r>
                      <a:t>5</a:t>
                    </a:r>
                  </a:p>
                </c:rich>
              </c:tx>
              <c:showLegendKey val="0"/>
              <c:showVal val="0"/>
              <c:showCatName val="0"/>
              <c:showSerName val="0"/>
              <c:showPercent val="0"/>
              <c:showBubbleSize val="0"/>
            </c:dLbl>
            <c:dLbl>
              <c:idx val="1"/>
              <c:delete val="1"/>
            </c:dLbl>
            <c:dLbl>
              <c:idx val="2"/>
              <c:delete val="1"/>
            </c:dLbl>
            <c:dLbl>
              <c:idx val="3"/>
              <c:delete val="1"/>
            </c:dLbl>
            <c:dLbl>
              <c:idx val="4"/>
              <c:delete val="1"/>
            </c:dLbl>
            <c:dLbl>
              <c:idx val="5"/>
              <c:delete val="1"/>
            </c:dLbl>
            <c:spPr>
              <a:noFill/>
              <a:ln w="25376">
                <a:noFill/>
              </a:ln>
            </c:spPr>
            <c:txPr>
              <a:bodyPr/>
              <a:lstStyle/>
              <a:p>
                <a:pPr>
                  <a:defRPr sz="799" b="1" i="0" u="none" strike="noStrike" baseline="0">
                    <a:solidFill>
                      <a:srgbClr val="000000"/>
                    </a:solidFill>
                    <a:latin typeface="Calibri"/>
                    <a:ea typeface="Calibri"/>
                    <a:cs typeface="Calibri"/>
                  </a:defRPr>
                </a:pPr>
                <a:endParaRPr lang="en-US"/>
              </a:p>
            </c:txPr>
            <c:showLegendKey val="0"/>
            <c:showVal val="0"/>
            <c:showCatName val="0"/>
            <c:showSerName val="1"/>
            <c:showPercent val="0"/>
            <c:showBubbleSize val="0"/>
            <c:showLeaderLines val="0"/>
          </c:dLbls>
          <c:cat>
            <c:strRef>
              <c:f>Sheet1!$B$1:$G$1</c:f>
              <c:strCache>
                <c:ptCount val="6"/>
                <c:pt idx="0">
                  <c:v>Total</c:v>
                </c:pt>
                <c:pt idx="1">
                  <c:v>Before 1961</c:v>
                </c:pt>
                <c:pt idx="2">
                  <c:v>1961 -1970</c:v>
                </c:pt>
                <c:pt idx="3">
                  <c:v>1971 -1980</c:v>
                </c:pt>
                <c:pt idx="4">
                  <c:v>1981 -1990</c:v>
                </c:pt>
                <c:pt idx="5">
                  <c:v>1991 -2001</c:v>
                </c:pt>
              </c:strCache>
            </c:strRef>
          </c:cat>
          <c:val>
            <c:numRef>
              <c:f>Sheet1!$B$6:$G$6</c:f>
              <c:numCache>
                <c:formatCode>General</c:formatCode>
                <c:ptCount val="6"/>
                <c:pt idx="0">
                  <c:v>11</c:v>
                </c:pt>
              </c:numCache>
            </c:numRef>
          </c:val>
        </c:ser>
        <c:ser>
          <c:idx val="5"/>
          <c:order val="5"/>
          <c:tx>
            <c:strRef>
              <c:f>Sheet1!$A$7</c:f>
              <c:strCache>
                <c:ptCount val="1"/>
                <c:pt idx="0">
                  <c:v>6. Oceania and other countries</c:v>
                </c:pt>
              </c:strCache>
            </c:strRef>
          </c:tx>
          <c:spPr>
            <a:solidFill>
              <a:srgbClr val="FFFFFF"/>
            </a:solidFill>
            <a:ln w="12688">
              <a:solidFill>
                <a:srgbClr val="000000"/>
              </a:solidFill>
              <a:prstDash val="solid"/>
            </a:ln>
          </c:spPr>
          <c:invertIfNegative val="0"/>
          <c:dLbls>
            <c:dLbl>
              <c:idx val="0"/>
              <c:layout>
                <c:manualLayout>
                  <c:xMode val="edge"/>
                  <c:yMode val="edge"/>
                  <c:x val="0.15082382762991128"/>
                  <c:y val="1.348747591522158E-2"/>
                </c:manualLayout>
              </c:layout>
              <c:tx>
                <c:rich>
                  <a:bodyPr/>
                  <a:lstStyle/>
                  <a:p>
                    <a:r>
                      <a:t>6</a:t>
                    </a:r>
                  </a:p>
                </c:rich>
              </c:tx>
              <c:dLblPos val="ctr"/>
              <c:showLegendKey val="0"/>
              <c:showVal val="0"/>
              <c:showCatName val="0"/>
              <c:showSerName val="0"/>
              <c:showPercent val="0"/>
              <c:showBubbleSize val="0"/>
            </c:dLbl>
            <c:dLbl>
              <c:idx val="1"/>
              <c:delete val="1"/>
            </c:dLbl>
            <c:dLbl>
              <c:idx val="2"/>
              <c:delete val="1"/>
            </c:dLbl>
            <c:dLbl>
              <c:idx val="3"/>
              <c:delete val="1"/>
            </c:dLbl>
            <c:dLbl>
              <c:idx val="4"/>
              <c:delete val="1"/>
            </c:dLbl>
            <c:dLbl>
              <c:idx val="5"/>
              <c:delete val="1"/>
            </c:dLbl>
            <c:spPr>
              <a:noFill/>
              <a:ln w="25376">
                <a:noFill/>
              </a:ln>
            </c:spPr>
            <c:txPr>
              <a:bodyPr/>
              <a:lstStyle/>
              <a:p>
                <a:pPr>
                  <a:defRPr sz="799" b="1" i="0" u="none" strike="noStrike" baseline="0">
                    <a:solidFill>
                      <a:srgbClr val="000000"/>
                    </a:solidFill>
                    <a:latin typeface="Calibri"/>
                    <a:ea typeface="Calibri"/>
                    <a:cs typeface="Calibri"/>
                  </a:defRPr>
                </a:pPr>
                <a:endParaRPr lang="en-US"/>
              </a:p>
            </c:txPr>
            <c:showLegendKey val="0"/>
            <c:showVal val="0"/>
            <c:showCatName val="0"/>
            <c:showSerName val="1"/>
            <c:showPercent val="0"/>
            <c:showBubbleSize val="0"/>
            <c:showLeaderLines val="0"/>
          </c:dLbls>
          <c:cat>
            <c:strRef>
              <c:f>Sheet1!$B$1:$G$1</c:f>
              <c:strCache>
                <c:ptCount val="6"/>
                <c:pt idx="0">
                  <c:v>Total</c:v>
                </c:pt>
                <c:pt idx="1">
                  <c:v>Before 1961</c:v>
                </c:pt>
                <c:pt idx="2">
                  <c:v>1961 -1970</c:v>
                </c:pt>
                <c:pt idx="3">
                  <c:v>1971 -1980</c:v>
                </c:pt>
                <c:pt idx="4">
                  <c:v>1981 -1990</c:v>
                </c:pt>
                <c:pt idx="5">
                  <c:v>1991 -2001</c:v>
                </c:pt>
              </c:strCache>
            </c:strRef>
          </c:cat>
          <c:val>
            <c:numRef>
              <c:f>Sheet1!$B$7:$G$7</c:f>
              <c:numCache>
                <c:formatCode>General</c:formatCode>
                <c:ptCount val="6"/>
                <c:pt idx="0">
                  <c:v>1</c:v>
                </c:pt>
              </c:numCache>
            </c:numRef>
          </c:val>
        </c:ser>
        <c:dLbls>
          <c:showLegendKey val="0"/>
          <c:showVal val="0"/>
          <c:showCatName val="0"/>
          <c:showSerName val="0"/>
          <c:showPercent val="0"/>
          <c:showBubbleSize val="0"/>
        </c:dLbls>
        <c:gapWidth val="150"/>
        <c:overlap val="100"/>
        <c:axId val="44560384"/>
        <c:axId val="44561920"/>
      </c:barChart>
      <c:catAx>
        <c:axId val="44560384"/>
        <c:scaling>
          <c:orientation val="minMax"/>
        </c:scaling>
        <c:delete val="0"/>
        <c:axPos val="b"/>
        <c:numFmt formatCode="General" sourceLinked="1"/>
        <c:majorTickMark val="out"/>
        <c:minorTickMark val="none"/>
        <c:tickLblPos val="nextTo"/>
        <c:spPr>
          <a:ln w="3172">
            <a:solidFill>
              <a:srgbClr val="000000"/>
            </a:solidFill>
            <a:prstDash val="solid"/>
          </a:ln>
        </c:spPr>
        <c:txPr>
          <a:bodyPr rot="0" vert="horz"/>
          <a:lstStyle/>
          <a:p>
            <a:pPr>
              <a:defRPr sz="1199" b="0" i="0" u="none" strike="noStrike" baseline="0">
                <a:solidFill>
                  <a:srgbClr val="000000"/>
                </a:solidFill>
                <a:latin typeface="Calibri"/>
                <a:ea typeface="Calibri"/>
                <a:cs typeface="Calibri"/>
              </a:defRPr>
            </a:pPr>
            <a:endParaRPr lang="en-US"/>
          </a:p>
        </c:txPr>
        <c:crossAx val="44561920"/>
        <c:crosses val="autoZero"/>
        <c:auto val="1"/>
        <c:lblAlgn val="ctr"/>
        <c:lblOffset val="100"/>
        <c:tickLblSkip val="1"/>
        <c:tickMarkSkip val="1"/>
        <c:noMultiLvlLbl val="0"/>
      </c:catAx>
      <c:valAx>
        <c:axId val="44561920"/>
        <c:scaling>
          <c:orientation val="minMax"/>
        </c:scaling>
        <c:delete val="0"/>
        <c:axPos val="l"/>
        <c:majorGridlines>
          <c:spPr>
            <a:ln w="3172">
              <a:solidFill>
                <a:srgbClr val="000000"/>
              </a:solidFill>
              <a:prstDash val="solid"/>
            </a:ln>
          </c:spPr>
        </c:majorGridlines>
        <c:numFmt formatCode="0%" sourceLinked="1"/>
        <c:majorTickMark val="out"/>
        <c:minorTickMark val="none"/>
        <c:tickLblPos val="nextTo"/>
        <c:spPr>
          <a:ln w="3172">
            <a:solidFill>
              <a:srgbClr val="000000"/>
            </a:solidFill>
            <a:prstDash val="solid"/>
          </a:ln>
        </c:spPr>
        <c:txPr>
          <a:bodyPr rot="0" vert="horz"/>
          <a:lstStyle/>
          <a:p>
            <a:pPr>
              <a:defRPr sz="1199" b="0" i="0" u="none" strike="noStrike" baseline="0">
                <a:solidFill>
                  <a:srgbClr val="000000"/>
                </a:solidFill>
                <a:latin typeface="Calibri"/>
                <a:ea typeface="Calibri"/>
                <a:cs typeface="Calibri"/>
              </a:defRPr>
            </a:pPr>
            <a:endParaRPr lang="en-US"/>
          </a:p>
        </c:txPr>
        <c:crossAx val="44560384"/>
        <c:crosses val="autoZero"/>
        <c:crossBetween val="between"/>
      </c:valAx>
      <c:spPr>
        <a:noFill/>
        <a:ln w="12688">
          <a:solidFill>
            <a:srgbClr val="808080"/>
          </a:solidFill>
          <a:prstDash val="solid"/>
        </a:ln>
      </c:spPr>
    </c:plotArea>
    <c:plotVisOnly val="1"/>
    <c:dispBlanksAs val="gap"/>
    <c:showDLblsOverMax val="0"/>
  </c:chart>
  <c:spPr>
    <a:noFill/>
    <a:ln>
      <a:noFill/>
    </a:ln>
  </c:spPr>
  <c:txPr>
    <a:bodyPr/>
    <a:lstStyle/>
    <a:p>
      <a:pPr>
        <a:defRPr sz="1823" b="1" i="0" u="none" strike="noStrike" baseline="0">
          <a:solidFill>
            <a:srgbClr val="000000"/>
          </a:solidFill>
          <a:latin typeface="Calibri"/>
          <a:ea typeface="Calibri"/>
          <a:cs typeface="Calibri"/>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062663185378589"/>
          <c:y val="3.0516431924882632E-2"/>
          <c:w val="0.76892950391644899"/>
          <c:h val="0.76291079812206575"/>
        </c:manualLayout>
      </c:layout>
      <c:barChart>
        <c:barDir val="bar"/>
        <c:grouping val="clustered"/>
        <c:varyColors val="0"/>
        <c:ser>
          <c:idx val="0"/>
          <c:order val="0"/>
          <c:tx>
            <c:strRef>
              <c:f>Sheet1!$A$2</c:f>
              <c:strCache>
                <c:ptCount val="1"/>
              </c:strCache>
            </c:strRef>
          </c:tx>
          <c:spPr>
            <a:solidFill>
              <a:srgbClr val="9999FF"/>
            </a:solidFill>
            <a:ln w="12700">
              <a:solidFill>
                <a:srgbClr val="000000"/>
              </a:solidFill>
              <a:prstDash val="solid"/>
            </a:ln>
          </c:spPr>
          <c:invertIfNegative val="0"/>
          <c:dLbls>
            <c:spPr>
              <a:noFill/>
              <a:ln w="25400">
                <a:noFill/>
              </a:ln>
            </c:spPr>
            <c:txPr>
              <a:bodyPr/>
              <a:lstStyle/>
              <a:p>
                <a:pPr>
                  <a:defRPr sz="8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Sheet1!$B$1:$N$1</c:f>
              <c:strCache>
                <c:ptCount val="13"/>
                <c:pt idx="0">
                  <c:v>Newfoundland and Labrador</c:v>
                </c:pt>
                <c:pt idx="1">
                  <c:v>Nunavut</c:v>
                </c:pt>
                <c:pt idx="2">
                  <c:v>New Brunswick</c:v>
                </c:pt>
                <c:pt idx="3">
                  <c:v>Prince Edward Island</c:v>
                </c:pt>
                <c:pt idx="4">
                  <c:v>Nova Scotia</c:v>
                </c:pt>
                <c:pt idx="5">
                  <c:v>Saskatchewan</c:v>
                </c:pt>
                <c:pt idx="6">
                  <c:v>Northwest Territories</c:v>
                </c:pt>
                <c:pt idx="7">
                  <c:v>Quebec</c:v>
                </c:pt>
                <c:pt idx="8">
                  <c:v>Yukon Territory</c:v>
                </c:pt>
                <c:pt idx="9">
                  <c:v>Manitoba</c:v>
                </c:pt>
                <c:pt idx="10">
                  <c:v>Alberta</c:v>
                </c:pt>
                <c:pt idx="11">
                  <c:v>British Columbia</c:v>
                </c:pt>
                <c:pt idx="12">
                  <c:v>Ontario</c:v>
                </c:pt>
              </c:strCache>
            </c:strRef>
          </c:cat>
          <c:val>
            <c:numRef>
              <c:f>Sheet1!$B$2:$N$2</c:f>
              <c:numCache>
                <c:formatCode>General</c:formatCode>
                <c:ptCount val="13"/>
                <c:pt idx="0">
                  <c:v>1.6</c:v>
                </c:pt>
              </c:numCache>
            </c:numRef>
          </c:val>
        </c:ser>
        <c:ser>
          <c:idx val="1"/>
          <c:order val="1"/>
          <c:tx>
            <c:strRef>
              <c:f>Sheet1!$A$3</c:f>
              <c:strCache>
                <c:ptCount val="1"/>
              </c:strCache>
            </c:strRef>
          </c:tx>
          <c:spPr>
            <a:solidFill>
              <a:srgbClr val="993366"/>
            </a:solidFill>
            <a:ln w="12700">
              <a:solidFill>
                <a:srgbClr val="000000"/>
              </a:solidFill>
              <a:prstDash val="solid"/>
            </a:ln>
          </c:spPr>
          <c:invertIfNegative val="0"/>
          <c:dLbls>
            <c:spPr>
              <a:noFill/>
              <a:ln w="25400">
                <a:noFill/>
              </a:ln>
            </c:spPr>
            <c:txPr>
              <a:bodyPr/>
              <a:lstStyle/>
              <a:p>
                <a:pPr>
                  <a:defRPr sz="8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Sheet1!$B$1:$N$1</c:f>
              <c:strCache>
                <c:ptCount val="13"/>
                <c:pt idx="0">
                  <c:v>Newfoundland and Labrador</c:v>
                </c:pt>
                <c:pt idx="1">
                  <c:v>Nunavut</c:v>
                </c:pt>
                <c:pt idx="2">
                  <c:v>New Brunswick</c:v>
                </c:pt>
                <c:pt idx="3">
                  <c:v>Prince Edward Island</c:v>
                </c:pt>
                <c:pt idx="4">
                  <c:v>Nova Scotia</c:v>
                </c:pt>
                <c:pt idx="5">
                  <c:v>Saskatchewan</c:v>
                </c:pt>
                <c:pt idx="6">
                  <c:v>Northwest Territories</c:v>
                </c:pt>
                <c:pt idx="7">
                  <c:v>Quebec</c:v>
                </c:pt>
                <c:pt idx="8">
                  <c:v>Yukon Territory</c:v>
                </c:pt>
                <c:pt idx="9">
                  <c:v>Manitoba</c:v>
                </c:pt>
                <c:pt idx="10">
                  <c:v>Alberta</c:v>
                </c:pt>
                <c:pt idx="11">
                  <c:v>British Columbia</c:v>
                </c:pt>
                <c:pt idx="12">
                  <c:v>Ontario</c:v>
                </c:pt>
              </c:strCache>
            </c:strRef>
          </c:cat>
          <c:val>
            <c:numRef>
              <c:f>Sheet1!$B$3:$N$3</c:f>
              <c:numCache>
                <c:formatCode>General</c:formatCode>
                <c:ptCount val="13"/>
                <c:pt idx="1">
                  <c:v>1.7</c:v>
                </c:pt>
              </c:numCache>
            </c:numRef>
          </c:val>
        </c:ser>
        <c:ser>
          <c:idx val="2"/>
          <c:order val="2"/>
          <c:tx>
            <c:strRef>
              <c:f>Sheet1!$A$4</c:f>
              <c:strCache>
                <c:ptCount val="1"/>
              </c:strCache>
            </c:strRef>
          </c:tx>
          <c:spPr>
            <a:solidFill>
              <a:srgbClr val="FFFFCC"/>
            </a:solidFill>
            <a:ln w="12700">
              <a:solidFill>
                <a:srgbClr val="000000"/>
              </a:solidFill>
              <a:prstDash val="solid"/>
            </a:ln>
          </c:spPr>
          <c:invertIfNegative val="0"/>
          <c:dLbls>
            <c:spPr>
              <a:noFill/>
              <a:ln w="25400">
                <a:noFill/>
              </a:ln>
            </c:spPr>
            <c:txPr>
              <a:bodyPr/>
              <a:lstStyle/>
              <a:p>
                <a:pPr>
                  <a:defRPr sz="8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Sheet1!$B$1:$N$1</c:f>
              <c:strCache>
                <c:ptCount val="13"/>
                <c:pt idx="0">
                  <c:v>Newfoundland and Labrador</c:v>
                </c:pt>
                <c:pt idx="1">
                  <c:v>Nunavut</c:v>
                </c:pt>
                <c:pt idx="2">
                  <c:v>New Brunswick</c:v>
                </c:pt>
                <c:pt idx="3">
                  <c:v>Prince Edward Island</c:v>
                </c:pt>
                <c:pt idx="4">
                  <c:v>Nova Scotia</c:v>
                </c:pt>
                <c:pt idx="5">
                  <c:v>Saskatchewan</c:v>
                </c:pt>
                <c:pt idx="6">
                  <c:v>Northwest Territories</c:v>
                </c:pt>
                <c:pt idx="7">
                  <c:v>Quebec</c:v>
                </c:pt>
                <c:pt idx="8">
                  <c:v>Yukon Territory</c:v>
                </c:pt>
                <c:pt idx="9">
                  <c:v>Manitoba</c:v>
                </c:pt>
                <c:pt idx="10">
                  <c:v>Alberta</c:v>
                </c:pt>
                <c:pt idx="11">
                  <c:v>British Columbia</c:v>
                </c:pt>
                <c:pt idx="12">
                  <c:v>Ontario</c:v>
                </c:pt>
              </c:strCache>
            </c:strRef>
          </c:cat>
          <c:val>
            <c:numRef>
              <c:f>Sheet1!$B$4:$N$4</c:f>
              <c:numCache>
                <c:formatCode>General</c:formatCode>
                <c:ptCount val="13"/>
                <c:pt idx="2">
                  <c:v>3.1</c:v>
                </c:pt>
              </c:numCache>
            </c:numRef>
          </c:val>
        </c:ser>
        <c:ser>
          <c:idx val="3"/>
          <c:order val="3"/>
          <c:tx>
            <c:strRef>
              <c:f>Sheet1!$A$5</c:f>
              <c:strCache>
                <c:ptCount val="1"/>
              </c:strCache>
            </c:strRef>
          </c:tx>
          <c:spPr>
            <a:solidFill>
              <a:srgbClr val="CCFFFF"/>
            </a:solidFill>
            <a:ln w="12700">
              <a:solidFill>
                <a:srgbClr val="000000"/>
              </a:solidFill>
              <a:prstDash val="solid"/>
            </a:ln>
          </c:spPr>
          <c:invertIfNegative val="0"/>
          <c:dLbls>
            <c:spPr>
              <a:noFill/>
              <a:ln w="25400">
                <a:noFill/>
              </a:ln>
            </c:spPr>
            <c:txPr>
              <a:bodyPr/>
              <a:lstStyle/>
              <a:p>
                <a:pPr>
                  <a:defRPr sz="8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Sheet1!$B$1:$N$1</c:f>
              <c:strCache>
                <c:ptCount val="13"/>
                <c:pt idx="0">
                  <c:v>Newfoundland and Labrador</c:v>
                </c:pt>
                <c:pt idx="1">
                  <c:v>Nunavut</c:v>
                </c:pt>
                <c:pt idx="2">
                  <c:v>New Brunswick</c:v>
                </c:pt>
                <c:pt idx="3">
                  <c:v>Prince Edward Island</c:v>
                </c:pt>
                <c:pt idx="4">
                  <c:v>Nova Scotia</c:v>
                </c:pt>
                <c:pt idx="5">
                  <c:v>Saskatchewan</c:v>
                </c:pt>
                <c:pt idx="6">
                  <c:v>Northwest Territories</c:v>
                </c:pt>
                <c:pt idx="7">
                  <c:v>Quebec</c:v>
                </c:pt>
                <c:pt idx="8">
                  <c:v>Yukon Territory</c:v>
                </c:pt>
                <c:pt idx="9">
                  <c:v>Manitoba</c:v>
                </c:pt>
                <c:pt idx="10">
                  <c:v>Alberta</c:v>
                </c:pt>
                <c:pt idx="11">
                  <c:v>British Columbia</c:v>
                </c:pt>
                <c:pt idx="12">
                  <c:v>Ontario</c:v>
                </c:pt>
              </c:strCache>
            </c:strRef>
          </c:cat>
          <c:val>
            <c:numRef>
              <c:f>Sheet1!$B$5:$N$5</c:f>
              <c:numCache>
                <c:formatCode>General</c:formatCode>
                <c:ptCount val="13"/>
                <c:pt idx="3">
                  <c:v>3.1</c:v>
                </c:pt>
              </c:numCache>
            </c:numRef>
          </c:val>
        </c:ser>
        <c:ser>
          <c:idx val="4"/>
          <c:order val="4"/>
          <c:tx>
            <c:strRef>
              <c:f>Sheet1!$A$6</c:f>
              <c:strCache>
                <c:ptCount val="1"/>
              </c:strCache>
            </c:strRef>
          </c:tx>
          <c:spPr>
            <a:solidFill>
              <a:srgbClr val="660066"/>
            </a:solidFill>
            <a:ln w="12700">
              <a:solidFill>
                <a:srgbClr val="000000"/>
              </a:solidFill>
              <a:prstDash val="solid"/>
            </a:ln>
          </c:spPr>
          <c:invertIfNegative val="0"/>
          <c:dLbls>
            <c:spPr>
              <a:noFill/>
              <a:ln w="25400">
                <a:noFill/>
              </a:ln>
            </c:spPr>
            <c:txPr>
              <a:bodyPr/>
              <a:lstStyle/>
              <a:p>
                <a:pPr>
                  <a:defRPr sz="8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Sheet1!$B$1:$N$1</c:f>
              <c:strCache>
                <c:ptCount val="13"/>
                <c:pt idx="0">
                  <c:v>Newfoundland and Labrador</c:v>
                </c:pt>
                <c:pt idx="1">
                  <c:v>Nunavut</c:v>
                </c:pt>
                <c:pt idx="2">
                  <c:v>New Brunswick</c:v>
                </c:pt>
                <c:pt idx="3">
                  <c:v>Prince Edward Island</c:v>
                </c:pt>
                <c:pt idx="4">
                  <c:v>Nova Scotia</c:v>
                </c:pt>
                <c:pt idx="5">
                  <c:v>Saskatchewan</c:v>
                </c:pt>
                <c:pt idx="6">
                  <c:v>Northwest Territories</c:v>
                </c:pt>
                <c:pt idx="7">
                  <c:v>Quebec</c:v>
                </c:pt>
                <c:pt idx="8">
                  <c:v>Yukon Territory</c:v>
                </c:pt>
                <c:pt idx="9">
                  <c:v>Manitoba</c:v>
                </c:pt>
                <c:pt idx="10">
                  <c:v>Alberta</c:v>
                </c:pt>
                <c:pt idx="11">
                  <c:v>British Columbia</c:v>
                </c:pt>
                <c:pt idx="12">
                  <c:v>Ontario</c:v>
                </c:pt>
              </c:strCache>
            </c:strRef>
          </c:cat>
          <c:val>
            <c:numRef>
              <c:f>Sheet1!$B$6:$N$6</c:f>
              <c:numCache>
                <c:formatCode>General</c:formatCode>
                <c:ptCount val="13"/>
                <c:pt idx="4">
                  <c:v>4.5999999999999996</c:v>
                </c:pt>
              </c:numCache>
            </c:numRef>
          </c:val>
        </c:ser>
        <c:ser>
          <c:idx val="5"/>
          <c:order val="5"/>
          <c:tx>
            <c:strRef>
              <c:f>Sheet1!$A$7</c:f>
              <c:strCache>
                <c:ptCount val="1"/>
              </c:strCache>
            </c:strRef>
          </c:tx>
          <c:spPr>
            <a:solidFill>
              <a:srgbClr val="FF8080"/>
            </a:solidFill>
            <a:ln w="12700">
              <a:solidFill>
                <a:srgbClr val="000000"/>
              </a:solidFill>
              <a:prstDash val="solid"/>
            </a:ln>
          </c:spPr>
          <c:invertIfNegative val="0"/>
          <c:dLbls>
            <c:spPr>
              <a:noFill/>
              <a:ln w="25400">
                <a:noFill/>
              </a:ln>
            </c:spPr>
            <c:txPr>
              <a:bodyPr/>
              <a:lstStyle/>
              <a:p>
                <a:pPr>
                  <a:defRPr sz="8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Sheet1!$B$1:$N$1</c:f>
              <c:strCache>
                <c:ptCount val="13"/>
                <c:pt idx="0">
                  <c:v>Newfoundland and Labrador</c:v>
                </c:pt>
                <c:pt idx="1">
                  <c:v>Nunavut</c:v>
                </c:pt>
                <c:pt idx="2">
                  <c:v>New Brunswick</c:v>
                </c:pt>
                <c:pt idx="3">
                  <c:v>Prince Edward Island</c:v>
                </c:pt>
                <c:pt idx="4">
                  <c:v>Nova Scotia</c:v>
                </c:pt>
                <c:pt idx="5">
                  <c:v>Saskatchewan</c:v>
                </c:pt>
                <c:pt idx="6">
                  <c:v>Northwest Territories</c:v>
                </c:pt>
                <c:pt idx="7">
                  <c:v>Quebec</c:v>
                </c:pt>
                <c:pt idx="8">
                  <c:v>Yukon Territory</c:v>
                </c:pt>
                <c:pt idx="9">
                  <c:v>Manitoba</c:v>
                </c:pt>
                <c:pt idx="10">
                  <c:v>Alberta</c:v>
                </c:pt>
                <c:pt idx="11">
                  <c:v>British Columbia</c:v>
                </c:pt>
                <c:pt idx="12">
                  <c:v>Ontario</c:v>
                </c:pt>
              </c:strCache>
            </c:strRef>
          </c:cat>
          <c:val>
            <c:numRef>
              <c:f>Sheet1!$B$7:$N$7</c:f>
              <c:numCache>
                <c:formatCode>General</c:formatCode>
                <c:ptCount val="13"/>
                <c:pt idx="5">
                  <c:v>5</c:v>
                </c:pt>
              </c:numCache>
            </c:numRef>
          </c:val>
        </c:ser>
        <c:ser>
          <c:idx val="6"/>
          <c:order val="6"/>
          <c:tx>
            <c:strRef>
              <c:f>Sheet1!$A$8</c:f>
              <c:strCache>
                <c:ptCount val="1"/>
              </c:strCache>
            </c:strRef>
          </c:tx>
          <c:spPr>
            <a:solidFill>
              <a:srgbClr val="0066CC"/>
            </a:solidFill>
            <a:ln w="12700">
              <a:solidFill>
                <a:srgbClr val="000000"/>
              </a:solidFill>
              <a:prstDash val="solid"/>
            </a:ln>
          </c:spPr>
          <c:invertIfNegative val="0"/>
          <c:dLbls>
            <c:spPr>
              <a:noFill/>
              <a:ln w="25400">
                <a:noFill/>
              </a:ln>
            </c:spPr>
            <c:txPr>
              <a:bodyPr/>
              <a:lstStyle/>
              <a:p>
                <a:pPr>
                  <a:defRPr sz="8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Sheet1!$B$1:$N$1</c:f>
              <c:strCache>
                <c:ptCount val="13"/>
                <c:pt idx="0">
                  <c:v>Newfoundland and Labrador</c:v>
                </c:pt>
                <c:pt idx="1">
                  <c:v>Nunavut</c:v>
                </c:pt>
                <c:pt idx="2">
                  <c:v>New Brunswick</c:v>
                </c:pt>
                <c:pt idx="3">
                  <c:v>Prince Edward Island</c:v>
                </c:pt>
                <c:pt idx="4">
                  <c:v>Nova Scotia</c:v>
                </c:pt>
                <c:pt idx="5">
                  <c:v>Saskatchewan</c:v>
                </c:pt>
                <c:pt idx="6">
                  <c:v>Northwest Territories</c:v>
                </c:pt>
                <c:pt idx="7">
                  <c:v>Quebec</c:v>
                </c:pt>
                <c:pt idx="8">
                  <c:v>Yukon Territory</c:v>
                </c:pt>
                <c:pt idx="9">
                  <c:v>Manitoba</c:v>
                </c:pt>
                <c:pt idx="10">
                  <c:v>Alberta</c:v>
                </c:pt>
                <c:pt idx="11">
                  <c:v>British Columbia</c:v>
                </c:pt>
                <c:pt idx="12">
                  <c:v>Ontario</c:v>
                </c:pt>
              </c:strCache>
            </c:strRef>
          </c:cat>
          <c:val>
            <c:numRef>
              <c:f>Sheet1!$B$8:$N$8</c:f>
              <c:numCache>
                <c:formatCode>General</c:formatCode>
                <c:ptCount val="13"/>
                <c:pt idx="6">
                  <c:v>6.4</c:v>
                </c:pt>
              </c:numCache>
            </c:numRef>
          </c:val>
        </c:ser>
        <c:ser>
          <c:idx val="7"/>
          <c:order val="7"/>
          <c:tx>
            <c:strRef>
              <c:f>Sheet1!$A$9</c:f>
              <c:strCache>
                <c:ptCount val="1"/>
              </c:strCache>
            </c:strRef>
          </c:tx>
          <c:spPr>
            <a:solidFill>
              <a:srgbClr val="CCCCFF"/>
            </a:solidFill>
            <a:ln w="12700">
              <a:solidFill>
                <a:srgbClr val="000000"/>
              </a:solidFill>
              <a:prstDash val="solid"/>
            </a:ln>
          </c:spPr>
          <c:invertIfNegative val="0"/>
          <c:dLbls>
            <c:spPr>
              <a:noFill/>
              <a:ln w="25400">
                <a:noFill/>
              </a:ln>
            </c:spPr>
            <c:txPr>
              <a:bodyPr/>
              <a:lstStyle/>
              <a:p>
                <a:pPr>
                  <a:defRPr sz="8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Sheet1!$B$1:$N$1</c:f>
              <c:strCache>
                <c:ptCount val="13"/>
                <c:pt idx="0">
                  <c:v>Newfoundland and Labrador</c:v>
                </c:pt>
                <c:pt idx="1">
                  <c:v>Nunavut</c:v>
                </c:pt>
                <c:pt idx="2">
                  <c:v>New Brunswick</c:v>
                </c:pt>
                <c:pt idx="3">
                  <c:v>Prince Edward Island</c:v>
                </c:pt>
                <c:pt idx="4">
                  <c:v>Nova Scotia</c:v>
                </c:pt>
                <c:pt idx="5">
                  <c:v>Saskatchewan</c:v>
                </c:pt>
                <c:pt idx="6">
                  <c:v>Northwest Territories</c:v>
                </c:pt>
                <c:pt idx="7">
                  <c:v>Quebec</c:v>
                </c:pt>
                <c:pt idx="8">
                  <c:v>Yukon Territory</c:v>
                </c:pt>
                <c:pt idx="9">
                  <c:v>Manitoba</c:v>
                </c:pt>
                <c:pt idx="10">
                  <c:v>Alberta</c:v>
                </c:pt>
                <c:pt idx="11">
                  <c:v>British Columbia</c:v>
                </c:pt>
                <c:pt idx="12">
                  <c:v>Ontario</c:v>
                </c:pt>
              </c:strCache>
            </c:strRef>
          </c:cat>
          <c:val>
            <c:numRef>
              <c:f>Sheet1!$B$9:$N$9</c:f>
              <c:numCache>
                <c:formatCode>General</c:formatCode>
                <c:ptCount val="13"/>
                <c:pt idx="7">
                  <c:v>9.9</c:v>
                </c:pt>
              </c:numCache>
            </c:numRef>
          </c:val>
        </c:ser>
        <c:ser>
          <c:idx val="8"/>
          <c:order val="8"/>
          <c:tx>
            <c:strRef>
              <c:f>Sheet1!$A$10</c:f>
              <c:strCache>
                <c:ptCount val="1"/>
              </c:strCache>
            </c:strRef>
          </c:tx>
          <c:spPr>
            <a:solidFill>
              <a:srgbClr val="000080"/>
            </a:solidFill>
            <a:ln w="12700">
              <a:solidFill>
                <a:srgbClr val="000000"/>
              </a:solidFill>
              <a:prstDash val="solid"/>
            </a:ln>
          </c:spPr>
          <c:invertIfNegative val="0"/>
          <c:dLbls>
            <c:spPr>
              <a:noFill/>
              <a:ln w="25400">
                <a:noFill/>
              </a:ln>
            </c:spPr>
            <c:txPr>
              <a:bodyPr/>
              <a:lstStyle/>
              <a:p>
                <a:pPr>
                  <a:defRPr sz="8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Sheet1!$B$1:$N$1</c:f>
              <c:strCache>
                <c:ptCount val="13"/>
                <c:pt idx="0">
                  <c:v>Newfoundland and Labrador</c:v>
                </c:pt>
                <c:pt idx="1">
                  <c:v>Nunavut</c:v>
                </c:pt>
                <c:pt idx="2">
                  <c:v>New Brunswick</c:v>
                </c:pt>
                <c:pt idx="3">
                  <c:v>Prince Edward Island</c:v>
                </c:pt>
                <c:pt idx="4">
                  <c:v>Nova Scotia</c:v>
                </c:pt>
                <c:pt idx="5">
                  <c:v>Saskatchewan</c:v>
                </c:pt>
                <c:pt idx="6">
                  <c:v>Northwest Territories</c:v>
                </c:pt>
                <c:pt idx="7">
                  <c:v>Quebec</c:v>
                </c:pt>
                <c:pt idx="8">
                  <c:v>Yukon Territory</c:v>
                </c:pt>
                <c:pt idx="9">
                  <c:v>Manitoba</c:v>
                </c:pt>
                <c:pt idx="10">
                  <c:v>Alberta</c:v>
                </c:pt>
                <c:pt idx="11">
                  <c:v>British Columbia</c:v>
                </c:pt>
                <c:pt idx="12">
                  <c:v>Ontario</c:v>
                </c:pt>
              </c:strCache>
            </c:strRef>
          </c:cat>
          <c:val>
            <c:numRef>
              <c:f>Sheet1!$B$10:$N$10</c:f>
              <c:numCache>
                <c:formatCode>General</c:formatCode>
                <c:ptCount val="13"/>
                <c:pt idx="8">
                  <c:v>10.6</c:v>
                </c:pt>
              </c:numCache>
            </c:numRef>
          </c:val>
        </c:ser>
        <c:ser>
          <c:idx val="9"/>
          <c:order val="9"/>
          <c:tx>
            <c:strRef>
              <c:f>Sheet1!$A$11</c:f>
              <c:strCache>
                <c:ptCount val="1"/>
              </c:strCache>
            </c:strRef>
          </c:tx>
          <c:spPr>
            <a:solidFill>
              <a:srgbClr val="FF00FF"/>
            </a:solidFill>
            <a:ln w="12700">
              <a:solidFill>
                <a:srgbClr val="000000"/>
              </a:solidFill>
              <a:prstDash val="solid"/>
            </a:ln>
          </c:spPr>
          <c:invertIfNegative val="0"/>
          <c:dLbls>
            <c:spPr>
              <a:noFill/>
              <a:ln w="25400">
                <a:noFill/>
              </a:ln>
            </c:spPr>
            <c:txPr>
              <a:bodyPr/>
              <a:lstStyle/>
              <a:p>
                <a:pPr>
                  <a:defRPr sz="8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Sheet1!$B$1:$N$1</c:f>
              <c:strCache>
                <c:ptCount val="13"/>
                <c:pt idx="0">
                  <c:v>Newfoundland and Labrador</c:v>
                </c:pt>
                <c:pt idx="1">
                  <c:v>Nunavut</c:v>
                </c:pt>
                <c:pt idx="2">
                  <c:v>New Brunswick</c:v>
                </c:pt>
                <c:pt idx="3">
                  <c:v>Prince Edward Island</c:v>
                </c:pt>
                <c:pt idx="4">
                  <c:v>Nova Scotia</c:v>
                </c:pt>
                <c:pt idx="5">
                  <c:v>Saskatchewan</c:v>
                </c:pt>
                <c:pt idx="6">
                  <c:v>Northwest Territories</c:v>
                </c:pt>
                <c:pt idx="7">
                  <c:v>Quebec</c:v>
                </c:pt>
                <c:pt idx="8">
                  <c:v>Yukon Territory</c:v>
                </c:pt>
                <c:pt idx="9">
                  <c:v>Manitoba</c:v>
                </c:pt>
                <c:pt idx="10">
                  <c:v>Alberta</c:v>
                </c:pt>
                <c:pt idx="11">
                  <c:v>British Columbia</c:v>
                </c:pt>
                <c:pt idx="12">
                  <c:v>Ontario</c:v>
                </c:pt>
              </c:strCache>
            </c:strRef>
          </c:cat>
          <c:val>
            <c:numRef>
              <c:f>Sheet1!$B$11:$N$11</c:f>
              <c:numCache>
                <c:formatCode>General</c:formatCode>
                <c:ptCount val="13"/>
                <c:pt idx="9">
                  <c:v>12.1</c:v>
                </c:pt>
              </c:numCache>
            </c:numRef>
          </c:val>
        </c:ser>
        <c:ser>
          <c:idx val="10"/>
          <c:order val="10"/>
          <c:tx>
            <c:strRef>
              <c:f>Sheet1!$A$12</c:f>
              <c:strCache>
                <c:ptCount val="1"/>
              </c:strCache>
            </c:strRef>
          </c:tx>
          <c:spPr>
            <a:solidFill>
              <a:srgbClr val="FFFF00"/>
            </a:solidFill>
            <a:ln w="12700">
              <a:solidFill>
                <a:srgbClr val="000000"/>
              </a:solidFill>
              <a:prstDash val="solid"/>
            </a:ln>
          </c:spPr>
          <c:invertIfNegative val="0"/>
          <c:dLbls>
            <c:spPr>
              <a:noFill/>
              <a:ln w="25400">
                <a:noFill/>
              </a:ln>
            </c:spPr>
            <c:txPr>
              <a:bodyPr/>
              <a:lstStyle/>
              <a:p>
                <a:pPr>
                  <a:defRPr sz="8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Sheet1!$B$1:$N$1</c:f>
              <c:strCache>
                <c:ptCount val="13"/>
                <c:pt idx="0">
                  <c:v>Newfoundland and Labrador</c:v>
                </c:pt>
                <c:pt idx="1">
                  <c:v>Nunavut</c:v>
                </c:pt>
                <c:pt idx="2">
                  <c:v>New Brunswick</c:v>
                </c:pt>
                <c:pt idx="3">
                  <c:v>Prince Edward Island</c:v>
                </c:pt>
                <c:pt idx="4">
                  <c:v>Nova Scotia</c:v>
                </c:pt>
                <c:pt idx="5">
                  <c:v>Saskatchewan</c:v>
                </c:pt>
                <c:pt idx="6">
                  <c:v>Northwest Territories</c:v>
                </c:pt>
                <c:pt idx="7">
                  <c:v>Quebec</c:v>
                </c:pt>
                <c:pt idx="8">
                  <c:v>Yukon Territory</c:v>
                </c:pt>
                <c:pt idx="9">
                  <c:v>Manitoba</c:v>
                </c:pt>
                <c:pt idx="10">
                  <c:v>Alberta</c:v>
                </c:pt>
                <c:pt idx="11">
                  <c:v>British Columbia</c:v>
                </c:pt>
                <c:pt idx="12">
                  <c:v>Ontario</c:v>
                </c:pt>
              </c:strCache>
            </c:strRef>
          </c:cat>
          <c:val>
            <c:numRef>
              <c:f>Sheet1!$B$12:$N$12</c:f>
              <c:numCache>
                <c:formatCode>General</c:formatCode>
                <c:ptCount val="13"/>
                <c:pt idx="10">
                  <c:v>14.9</c:v>
                </c:pt>
              </c:numCache>
            </c:numRef>
          </c:val>
        </c:ser>
        <c:ser>
          <c:idx val="11"/>
          <c:order val="11"/>
          <c:tx>
            <c:strRef>
              <c:f>Sheet1!$A$13</c:f>
              <c:strCache>
                <c:ptCount val="1"/>
              </c:strCache>
            </c:strRef>
          </c:tx>
          <c:spPr>
            <a:solidFill>
              <a:srgbClr val="00FFFF"/>
            </a:solidFill>
            <a:ln w="12700">
              <a:solidFill>
                <a:srgbClr val="000000"/>
              </a:solidFill>
              <a:prstDash val="solid"/>
            </a:ln>
          </c:spPr>
          <c:invertIfNegative val="0"/>
          <c:dLbls>
            <c:spPr>
              <a:noFill/>
              <a:ln w="25400">
                <a:noFill/>
              </a:ln>
            </c:spPr>
            <c:txPr>
              <a:bodyPr/>
              <a:lstStyle/>
              <a:p>
                <a:pPr>
                  <a:defRPr sz="8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Sheet1!$B$1:$N$1</c:f>
              <c:strCache>
                <c:ptCount val="13"/>
                <c:pt idx="0">
                  <c:v>Newfoundland and Labrador</c:v>
                </c:pt>
                <c:pt idx="1">
                  <c:v>Nunavut</c:v>
                </c:pt>
                <c:pt idx="2">
                  <c:v>New Brunswick</c:v>
                </c:pt>
                <c:pt idx="3">
                  <c:v>Prince Edward Island</c:v>
                </c:pt>
                <c:pt idx="4">
                  <c:v>Nova Scotia</c:v>
                </c:pt>
                <c:pt idx="5">
                  <c:v>Saskatchewan</c:v>
                </c:pt>
                <c:pt idx="6">
                  <c:v>Northwest Territories</c:v>
                </c:pt>
                <c:pt idx="7">
                  <c:v>Quebec</c:v>
                </c:pt>
                <c:pt idx="8">
                  <c:v>Yukon Territory</c:v>
                </c:pt>
                <c:pt idx="9">
                  <c:v>Manitoba</c:v>
                </c:pt>
                <c:pt idx="10">
                  <c:v>Alberta</c:v>
                </c:pt>
                <c:pt idx="11">
                  <c:v>British Columbia</c:v>
                </c:pt>
                <c:pt idx="12">
                  <c:v>Ontario</c:v>
                </c:pt>
              </c:strCache>
            </c:strRef>
          </c:cat>
          <c:val>
            <c:numRef>
              <c:f>Sheet1!$B$13:$N$13</c:f>
              <c:numCache>
                <c:formatCode>General</c:formatCode>
                <c:ptCount val="13"/>
                <c:pt idx="11">
                  <c:v>26.1</c:v>
                </c:pt>
              </c:numCache>
            </c:numRef>
          </c:val>
        </c:ser>
        <c:ser>
          <c:idx val="12"/>
          <c:order val="12"/>
          <c:tx>
            <c:strRef>
              <c:f>Sheet1!$A$14</c:f>
              <c:strCache>
                <c:ptCount val="1"/>
              </c:strCache>
            </c:strRef>
          </c:tx>
          <c:spPr>
            <a:solidFill>
              <a:srgbClr val="800080"/>
            </a:solidFill>
            <a:ln w="12700">
              <a:solidFill>
                <a:srgbClr val="000000"/>
              </a:solidFill>
              <a:prstDash val="solid"/>
            </a:ln>
          </c:spPr>
          <c:invertIfNegative val="0"/>
          <c:dLbls>
            <c:spPr>
              <a:noFill/>
              <a:ln w="25400">
                <a:noFill/>
              </a:ln>
            </c:spPr>
            <c:txPr>
              <a:bodyPr/>
              <a:lstStyle/>
              <a:p>
                <a:pPr>
                  <a:defRPr sz="8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Sheet1!$B$1:$N$1</c:f>
              <c:strCache>
                <c:ptCount val="13"/>
                <c:pt idx="0">
                  <c:v>Newfoundland and Labrador</c:v>
                </c:pt>
                <c:pt idx="1">
                  <c:v>Nunavut</c:v>
                </c:pt>
                <c:pt idx="2">
                  <c:v>New Brunswick</c:v>
                </c:pt>
                <c:pt idx="3">
                  <c:v>Prince Edward Island</c:v>
                </c:pt>
                <c:pt idx="4">
                  <c:v>Nova Scotia</c:v>
                </c:pt>
                <c:pt idx="5">
                  <c:v>Saskatchewan</c:v>
                </c:pt>
                <c:pt idx="6">
                  <c:v>Northwest Territories</c:v>
                </c:pt>
                <c:pt idx="7">
                  <c:v>Quebec</c:v>
                </c:pt>
                <c:pt idx="8">
                  <c:v>Yukon Territory</c:v>
                </c:pt>
                <c:pt idx="9">
                  <c:v>Manitoba</c:v>
                </c:pt>
                <c:pt idx="10">
                  <c:v>Alberta</c:v>
                </c:pt>
                <c:pt idx="11">
                  <c:v>British Columbia</c:v>
                </c:pt>
                <c:pt idx="12">
                  <c:v>Ontario</c:v>
                </c:pt>
              </c:strCache>
            </c:strRef>
          </c:cat>
          <c:val>
            <c:numRef>
              <c:f>Sheet1!$B$14:$N$14</c:f>
              <c:numCache>
                <c:formatCode>General</c:formatCode>
                <c:ptCount val="13"/>
                <c:pt idx="12">
                  <c:v>26.8</c:v>
                </c:pt>
              </c:numCache>
            </c:numRef>
          </c:val>
        </c:ser>
        <c:dLbls>
          <c:showLegendKey val="0"/>
          <c:showVal val="1"/>
          <c:showCatName val="0"/>
          <c:showSerName val="0"/>
          <c:showPercent val="0"/>
          <c:showBubbleSize val="0"/>
        </c:dLbls>
        <c:gapWidth val="150"/>
        <c:overlap val="100"/>
        <c:axId val="44772352"/>
        <c:axId val="44794624"/>
      </c:barChart>
      <c:catAx>
        <c:axId val="44772352"/>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44794624"/>
        <c:crosses val="autoZero"/>
        <c:auto val="1"/>
        <c:lblAlgn val="ctr"/>
        <c:lblOffset val="100"/>
        <c:tickLblSkip val="1"/>
        <c:tickMarkSkip val="1"/>
        <c:noMultiLvlLbl val="0"/>
      </c:catAx>
      <c:valAx>
        <c:axId val="44794624"/>
        <c:scaling>
          <c:orientation val="minMax"/>
        </c:scaling>
        <c:delete val="0"/>
        <c:axPos val="b"/>
        <c:title>
          <c:tx>
            <c:rich>
              <a:bodyPr/>
              <a:lstStyle/>
              <a:p>
                <a:pPr>
                  <a:defRPr sz="800" b="1" i="0" u="none" strike="noStrike" baseline="0">
                    <a:solidFill>
                      <a:srgbClr val="000000"/>
                    </a:solidFill>
                    <a:latin typeface="Calibri"/>
                    <a:ea typeface="Calibri"/>
                    <a:cs typeface="Calibri"/>
                  </a:defRPr>
                </a:pPr>
                <a:r>
                  <a:t>%</a:t>
                </a:r>
              </a:p>
            </c:rich>
          </c:tx>
          <c:layout>
            <c:manualLayout>
              <c:xMode val="edge"/>
              <c:yMode val="edge"/>
              <c:x val="0.19321148825065276"/>
              <c:y val="0.81455399061032863"/>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44772352"/>
        <c:crosses val="autoZero"/>
        <c:crossBetween val="between"/>
      </c:valAx>
      <c:spPr>
        <a:solidFill>
          <a:srgbClr val="C0C0C0"/>
        </a:solidFill>
        <a:ln w="12700">
          <a:solidFill>
            <a:srgbClr val="808080"/>
          </a:solidFill>
          <a:prstDash val="solid"/>
        </a:ln>
      </c:spPr>
    </c:plotArea>
    <c:plotVisOnly val="1"/>
    <c:dispBlanksAs val="gap"/>
    <c:showDLblsOverMax val="0"/>
  </c:chart>
  <c:spPr>
    <a:noFill/>
    <a:ln>
      <a:noFill/>
    </a:ln>
  </c:spPr>
  <c:txPr>
    <a:bodyPr/>
    <a:lstStyle/>
    <a:p>
      <a:pPr>
        <a:defRPr sz="150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976279650436953"/>
          <c:y val="1.7015706806282727E-2"/>
          <c:w val="0.8002496878901374"/>
          <c:h val="0.85471204188481664"/>
        </c:manualLayout>
      </c:layout>
      <c:barChart>
        <c:barDir val="bar"/>
        <c:grouping val="clustered"/>
        <c:varyColors val="0"/>
        <c:ser>
          <c:idx val="0"/>
          <c:order val="0"/>
          <c:tx>
            <c:strRef>
              <c:f>Sheet1!$A$2</c:f>
              <c:strCache>
                <c:ptCount val="1"/>
              </c:strCache>
            </c:strRef>
          </c:tx>
          <c:spPr>
            <a:solidFill>
              <a:srgbClr val="9999FF"/>
            </a:solidFill>
            <a:ln w="12693">
              <a:solidFill>
                <a:srgbClr val="000000"/>
              </a:solidFill>
              <a:prstDash val="solid"/>
            </a:ln>
          </c:spPr>
          <c:invertIfNegative val="0"/>
          <c:dLbls>
            <c:spPr>
              <a:noFill/>
              <a:ln w="25386">
                <a:noFill/>
              </a:ln>
            </c:spPr>
            <c:txPr>
              <a:bodyPr/>
              <a:lstStyle/>
              <a:p>
                <a:pPr>
                  <a:defRPr sz="9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Sheet1!$B$1:$AB$1</c:f>
              <c:strCache>
                <c:ptCount val="27"/>
                <c:pt idx="0">
                  <c:v>Chicoutimi Jonquière</c:v>
                </c:pt>
                <c:pt idx="1">
                  <c:v>Trois-Rivières</c:v>
                </c:pt>
                <c:pt idx="2">
                  <c:v>St. Johns</c:v>
                </c:pt>
                <c:pt idx="3">
                  <c:v>Québec</c:v>
                </c:pt>
                <c:pt idx="4">
                  <c:v>Saint John</c:v>
                </c:pt>
                <c:pt idx="5">
                  <c:v>Sherbrooke</c:v>
                </c:pt>
                <c:pt idx="6">
                  <c:v>Halifax</c:v>
                </c:pt>
                <c:pt idx="7">
                  <c:v>Greater Sudbury</c:v>
                </c:pt>
                <c:pt idx="8">
                  <c:v>Regina</c:v>
                </c:pt>
                <c:pt idx="9">
                  <c:v>Saskatoon</c:v>
                </c:pt>
                <c:pt idx="10">
                  <c:v>Thunder Bay</c:v>
                </c:pt>
                <c:pt idx="11">
                  <c:v>Kingston</c:v>
                </c:pt>
                <c:pt idx="12">
                  <c:v>Oshawa</c:v>
                </c:pt>
                <c:pt idx="13">
                  <c:v>Winnipeg</c:v>
                </c:pt>
                <c:pt idx="14">
                  <c:v>Ottawa-Hull</c:v>
                </c:pt>
                <c:pt idx="15">
                  <c:v>St. Catharines-Niagara</c:v>
                </c:pt>
                <c:pt idx="16">
                  <c:v>Edmonton</c:v>
                </c:pt>
                <c:pt idx="17">
                  <c:v>Montréal</c:v>
                </c:pt>
                <c:pt idx="18">
                  <c:v>Victoria</c:v>
                </c:pt>
                <c:pt idx="19">
                  <c:v>London</c:v>
                </c:pt>
                <c:pt idx="20">
                  <c:v>Calgary</c:v>
                </c:pt>
                <c:pt idx="21">
                  <c:v>Abbotsford</c:v>
                </c:pt>
                <c:pt idx="22">
                  <c:v>Kitchener</c:v>
                </c:pt>
                <c:pt idx="23">
                  <c:v>Windsor</c:v>
                </c:pt>
                <c:pt idx="24">
                  <c:v>Hamilton</c:v>
                </c:pt>
                <c:pt idx="25">
                  <c:v>Vancouver</c:v>
                </c:pt>
                <c:pt idx="26">
                  <c:v>Toronto</c:v>
                </c:pt>
              </c:strCache>
            </c:strRef>
          </c:cat>
          <c:val>
            <c:numRef>
              <c:f>Sheet1!$B$2:$AB$2</c:f>
              <c:numCache>
                <c:formatCode>General</c:formatCode>
                <c:ptCount val="27"/>
                <c:pt idx="0">
                  <c:v>0.9</c:v>
                </c:pt>
              </c:numCache>
            </c:numRef>
          </c:val>
        </c:ser>
        <c:ser>
          <c:idx val="1"/>
          <c:order val="1"/>
          <c:tx>
            <c:strRef>
              <c:f>Sheet1!$A$3</c:f>
              <c:strCache>
                <c:ptCount val="1"/>
              </c:strCache>
            </c:strRef>
          </c:tx>
          <c:spPr>
            <a:solidFill>
              <a:srgbClr val="993366"/>
            </a:solidFill>
            <a:ln w="12693">
              <a:solidFill>
                <a:srgbClr val="000000"/>
              </a:solidFill>
              <a:prstDash val="solid"/>
            </a:ln>
          </c:spPr>
          <c:invertIfNegative val="0"/>
          <c:dLbls>
            <c:dLbl>
              <c:idx val="1"/>
              <c:spPr>
                <a:noFill/>
                <a:ln w="25386">
                  <a:noFill/>
                </a:ln>
              </c:spPr>
              <c:txPr>
                <a:bodyPr/>
                <a:lstStyle/>
                <a:p>
                  <a:pPr>
                    <a:defRPr sz="9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dLbl>
            <c:spPr>
              <a:noFill/>
              <a:ln w="25386">
                <a:noFill/>
              </a:ln>
            </c:spPr>
            <c:txPr>
              <a:bodyPr/>
              <a:lstStyle/>
              <a:p>
                <a:pPr>
                  <a:defRPr sz="999"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Sheet1!$B$1:$AB$1</c:f>
              <c:strCache>
                <c:ptCount val="27"/>
                <c:pt idx="0">
                  <c:v>Chicoutimi Jonquière</c:v>
                </c:pt>
                <c:pt idx="1">
                  <c:v>Trois-Rivières</c:v>
                </c:pt>
                <c:pt idx="2">
                  <c:v>St. Johns</c:v>
                </c:pt>
                <c:pt idx="3">
                  <c:v>Québec</c:v>
                </c:pt>
                <c:pt idx="4">
                  <c:v>Saint John</c:v>
                </c:pt>
                <c:pt idx="5">
                  <c:v>Sherbrooke</c:v>
                </c:pt>
                <c:pt idx="6">
                  <c:v>Halifax</c:v>
                </c:pt>
                <c:pt idx="7">
                  <c:v>Greater Sudbury</c:v>
                </c:pt>
                <c:pt idx="8">
                  <c:v>Regina</c:v>
                </c:pt>
                <c:pt idx="9">
                  <c:v>Saskatoon</c:v>
                </c:pt>
                <c:pt idx="10">
                  <c:v>Thunder Bay</c:v>
                </c:pt>
                <c:pt idx="11">
                  <c:v>Kingston</c:v>
                </c:pt>
                <c:pt idx="12">
                  <c:v>Oshawa</c:v>
                </c:pt>
                <c:pt idx="13">
                  <c:v>Winnipeg</c:v>
                </c:pt>
                <c:pt idx="14">
                  <c:v>Ottawa-Hull</c:v>
                </c:pt>
                <c:pt idx="15">
                  <c:v>St. Catharines-Niagara</c:v>
                </c:pt>
                <c:pt idx="16">
                  <c:v>Edmonton</c:v>
                </c:pt>
                <c:pt idx="17">
                  <c:v>Montréal</c:v>
                </c:pt>
                <c:pt idx="18">
                  <c:v>Victoria</c:v>
                </c:pt>
                <c:pt idx="19">
                  <c:v>London</c:v>
                </c:pt>
                <c:pt idx="20">
                  <c:v>Calgary</c:v>
                </c:pt>
                <c:pt idx="21">
                  <c:v>Abbotsford</c:v>
                </c:pt>
                <c:pt idx="22">
                  <c:v>Kitchener</c:v>
                </c:pt>
                <c:pt idx="23">
                  <c:v>Windsor</c:v>
                </c:pt>
                <c:pt idx="24">
                  <c:v>Hamilton</c:v>
                </c:pt>
                <c:pt idx="25">
                  <c:v>Vancouver</c:v>
                </c:pt>
                <c:pt idx="26">
                  <c:v>Toronto</c:v>
                </c:pt>
              </c:strCache>
            </c:strRef>
          </c:cat>
          <c:val>
            <c:numRef>
              <c:f>Sheet1!$B$3:$AB$3</c:f>
              <c:numCache>
                <c:formatCode>General</c:formatCode>
                <c:ptCount val="27"/>
                <c:pt idx="1">
                  <c:v>1.5</c:v>
                </c:pt>
              </c:numCache>
            </c:numRef>
          </c:val>
        </c:ser>
        <c:ser>
          <c:idx val="2"/>
          <c:order val="2"/>
          <c:tx>
            <c:strRef>
              <c:f>Sheet1!$A$4</c:f>
              <c:strCache>
                <c:ptCount val="1"/>
              </c:strCache>
            </c:strRef>
          </c:tx>
          <c:spPr>
            <a:solidFill>
              <a:srgbClr val="FFFFCC"/>
            </a:solidFill>
            <a:ln w="12693">
              <a:solidFill>
                <a:srgbClr val="000000"/>
              </a:solidFill>
              <a:prstDash val="solid"/>
            </a:ln>
          </c:spPr>
          <c:invertIfNegative val="0"/>
          <c:dLbls>
            <c:spPr>
              <a:noFill/>
              <a:ln w="25386">
                <a:noFill/>
              </a:ln>
            </c:spPr>
            <c:txPr>
              <a:bodyPr/>
              <a:lstStyle/>
              <a:p>
                <a:pPr>
                  <a:defRPr sz="9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Sheet1!$B$1:$AB$1</c:f>
              <c:strCache>
                <c:ptCount val="27"/>
                <c:pt idx="0">
                  <c:v>Chicoutimi Jonquière</c:v>
                </c:pt>
                <c:pt idx="1">
                  <c:v>Trois-Rivières</c:v>
                </c:pt>
                <c:pt idx="2">
                  <c:v>St. Johns</c:v>
                </c:pt>
                <c:pt idx="3">
                  <c:v>Québec</c:v>
                </c:pt>
                <c:pt idx="4">
                  <c:v>Saint John</c:v>
                </c:pt>
                <c:pt idx="5">
                  <c:v>Sherbrooke</c:v>
                </c:pt>
                <c:pt idx="6">
                  <c:v>Halifax</c:v>
                </c:pt>
                <c:pt idx="7">
                  <c:v>Greater Sudbury</c:v>
                </c:pt>
                <c:pt idx="8">
                  <c:v>Regina</c:v>
                </c:pt>
                <c:pt idx="9">
                  <c:v>Saskatoon</c:v>
                </c:pt>
                <c:pt idx="10">
                  <c:v>Thunder Bay</c:v>
                </c:pt>
                <c:pt idx="11">
                  <c:v>Kingston</c:v>
                </c:pt>
                <c:pt idx="12">
                  <c:v>Oshawa</c:v>
                </c:pt>
                <c:pt idx="13">
                  <c:v>Winnipeg</c:v>
                </c:pt>
                <c:pt idx="14">
                  <c:v>Ottawa-Hull</c:v>
                </c:pt>
                <c:pt idx="15">
                  <c:v>St. Catharines-Niagara</c:v>
                </c:pt>
                <c:pt idx="16">
                  <c:v>Edmonton</c:v>
                </c:pt>
                <c:pt idx="17">
                  <c:v>Montréal</c:v>
                </c:pt>
                <c:pt idx="18">
                  <c:v>Victoria</c:v>
                </c:pt>
                <c:pt idx="19">
                  <c:v>London</c:v>
                </c:pt>
                <c:pt idx="20">
                  <c:v>Calgary</c:v>
                </c:pt>
                <c:pt idx="21">
                  <c:v>Abbotsford</c:v>
                </c:pt>
                <c:pt idx="22">
                  <c:v>Kitchener</c:v>
                </c:pt>
                <c:pt idx="23">
                  <c:v>Windsor</c:v>
                </c:pt>
                <c:pt idx="24">
                  <c:v>Hamilton</c:v>
                </c:pt>
                <c:pt idx="25">
                  <c:v>Vancouver</c:v>
                </c:pt>
                <c:pt idx="26">
                  <c:v>Toronto</c:v>
                </c:pt>
              </c:strCache>
            </c:strRef>
          </c:cat>
          <c:val>
            <c:numRef>
              <c:f>Sheet1!$B$4:$AB$4</c:f>
              <c:numCache>
                <c:formatCode>General</c:formatCode>
                <c:ptCount val="27"/>
                <c:pt idx="2">
                  <c:v>2.9</c:v>
                </c:pt>
              </c:numCache>
            </c:numRef>
          </c:val>
        </c:ser>
        <c:ser>
          <c:idx val="3"/>
          <c:order val="3"/>
          <c:tx>
            <c:strRef>
              <c:f>Sheet1!$A$5</c:f>
              <c:strCache>
                <c:ptCount val="1"/>
              </c:strCache>
            </c:strRef>
          </c:tx>
          <c:spPr>
            <a:solidFill>
              <a:srgbClr val="CCFFFF"/>
            </a:solidFill>
            <a:ln w="12693">
              <a:solidFill>
                <a:srgbClr val="000000"/>
              </a:solidFill>
              <a:prstDash val="solid"/>
            </a:ln>
          </c:spPr>
          <c:invertIfNegative val="0"/>
          <c:dLbls>
            <c:dLbl>
              <c:idx val="3"/>
              <c:spPr>
                <a:noFill/>
                <a:ln w="25386">
                  <a:noFill/>
                </a:ln>
              </c:spPr>
              <c:txPr>
                <a:bodyPr/>
                <a:lstStyle/>
                <a:p>
                  <a:pPr>
                    <a:defRPr sz="9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dLbl>
            <c:spPr>
              <a:noFill/>
              <a:ln w="25386">
                <a:noFill/>
              </a:ln>
            </c:spPr>
            <c:txPr>
              <a:bodyPr/>
              <a:lstStyle/>
              <a:p>
                <a:pPr>
                  <a:defRPr sz="999"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Sheet1!$B$1:$AB$1</c:f>
              <c:strCache>
                <c:ptCount val="27"/>
                <c:pt idx="0">
                  <c:v>Chicoutimi Jonquière</c:v>
                </c:pt>
                <c:pt idx="1">
                  <c:v>Trois-Rivières</c:v>
                </c:pt>
                <c:pt idx="2">
                  <c:v>St. Johns</c:v>
                </c:pt>
                <c:pt idx="3">
                  <c:v>Québec</c:v>
                </c:pt>
                <c:pt idx="4">
                  <c:v>Saint John</c:v>
                </c:pt>
                <c:pt idx="5">
                  <c:v>Sherbrooke</c:v>
                </c:pt>
                <c:pt idx="6">
                  <c:v>Halifax</c:v>
                </c:pt>
                <c:pt idx="7">
                  <c:v>Greater Sudbury</c:v>
                </c:pt>
                <c:pt idx="8">
                  <c:v>Regina</c:v>
                </c:pt>
                <c:pt idx="9">
                  <c:v>Saskatoon</c:v>
                </c:pt>
                <c:pt idx="10">
                  <c:v>Thunder Bay</c:v>
                </c:pt>
                <c:pt idx="11">
                  <c:v>Kingston</c:v>
                </c:pt>
                <c:pt idx="12">
                  <c:v>Oshawa</c:v>
                </c:pt>
                <c:pt idx="13">
                  <c:v>Winnipeg</c:v>
                </c:pt>
                <c:pt idx="14">
                  <c:v>Ottawa-Hull</c:v>
                </c:pt>
                <c:pt idx="15">
                  <c:v>St. Catharines-Niagara</c:v>
                </c:pt>
                <c:pt idx="16">
                  <c:v>Edmonton</c:v>
                </c:pt>
                <c:pt idx="17">
                  <c:v>Montréal</c:v>
                </c:pt>
                <c:pt idx="18">
                  <c:v>Victoria</c:v>
                </c:pt>
                <c:pt idx="19">
                  <c:v>London</c:v>
                </c:pt>
                <c:pt idx="20">
                  <c:v>Calgary</c:v>
                </c:pt>
                <c:pt idx="21">
                  <c:v>Abbotsford</c:v>
                </c:pt>
                <c:pt idx="22">
                  <c:v>Kitchener</c:v>
                </c:pt>
                <c:pt idx="23">
                  <c:v>Windsor</c:v>
                </c:pt>
                <c:pt idx="24">
                  <c:v>Hamilton</c:v>
                </c:pt>
                <c:pt idx="25">
                  <c:v>Vancouver</c:v>
                </c:pt>
                <c:pt idx="26">
                  <c:v>Toronto</c:v>
                </c:pt>
              </c:strCache>
            </c:strRef>
          </c:cat>
          <c:val>
            <c:numRef>
              <c:f>Sheet1!$B$5:$AB$5</c:f>
              <c:numCache>
                <c:formatCode>General</c:formatCode>
                <c:ptCount val="27"/>
                <c:pt idx="3">
                  <c:v>2.9</c:v>
                </c:pt>
              </c:numCache>
            </c:numRef>
          </c:val>
        </c:ser>
        <c:ser>
          <c:idx val="4"/>
          <c:order val="4"/>
          <c:tx>
            <c:strRef>
              <c:f>Sheet1!$A$6</c:f>
              <c:strCache>
                <c:ptCount val="1"/>
              </c:strCache>
            </c:strRef>
          </c:tx>
          <c:spPr>
            <a:solidFill>
              <a:srgbClr val="660066"/>
            </a:solidFill>
            <a:ln w="12693">
              <a:solidFill>
                <a:srgbClr val="000000"/>
              </a:solidFill>
              <a:prstDash val="solid"/>
            </a:ln>
          </c:spPr>
          <c:invertIfNegative val="0"/>
          <c:dLbls>
            <c:spPr>
              <a:noFill/>
              <a:ln w="25386">
                <a:noFill/>
              </a:ln>
            </c:spPr>
            <c:txPr>
              <a:bodyPr/>
              <a:lstStyle/>
              <a:p>
                <a:pPr>
                  <a:defRPr sz="9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Sheet1!$B$1:$AB$1</c:f>
              <c:strCache>
                <c:ptCount val="27"/>
                <c:pt idx="0">
                  <c:v>Chicoutimi Jonquière</c:v>
                </c:pt>
                <c:pt idx="1">
                  <c:v>Trois-Rivières</c:v>
                </c:pt>
                <c:pt idx="2">
                  <c:v>St. Johns</c:v>
                </c:pt>
                <c:pt idx="3">
                  <c:v>Québec</c:v>
                </c:pt>
                <c:pt idx="4">
                  <c:v>Saint John</c:v>
                </c:pt>
                <c:pt idx="5">
                  <c:v>Sherbrooke</c:v>
                </c:pt>
                <c:pt idx="6">
                  <c:v>Halifax</c:v>
                </c:pt>
                <c:pt idx="7">
                  <c:v>Greater Sudbury</c:v>
                </c:pt>
                <c:pt idx="8">
                  <c:v>Regina</c:v>
                </c:pt>
                <c:pt idx="9">
                  <c:v>Saskatoon</c:v>
                </c:pt>
                <c:pt idx="10">
                  <c:v>Thunder Bay</c:v>
                </c:pt>
                <c:pt idx="11">
                  <c:v>Kingston</c:v>
                </c:pt>
                <c:pt idx="12">
                  <c:v>Oshawa</c:v>
                </c:pt>
                <c:pt idx="13">
                  <c:v>Winnipeg</c:v>
                </c:pt>
                <c:pt idx="14">
                  <c:v>Ottawa-Hull</c:v>
                </c:pt>
                <c:pt idx="15">
                  <c:v>St. Catharines-Niagara</c:v>
                </c:pt>
                <c:pt idx="16">
                  <c:v>Edmonton</c:v>
                </c:pt>
                <c:pt idx="17">
                  <c:v>Montréal</c:v>
                </c:pt>
                <c:pt idx="18">
                  <c:v>Victoria</c:v>
                </c:pt>
                <c:pt idx="19">
                  <c:v>London</c:v>
                </c:pt>
                <c:pt idx="20">
                  <c:v>Calgary</c:v>
                </c:pt>
                <c:pt idx="21">
                  <c:v>Abbotsford</c:v>
                </c:pt>
                <c:pt idx="22">
                  <c:v>Kitchener</c:v>
                </c:pt>
                <c:pt idx="23">
                  <c:v>Windsor</c:v>
                </c:pt>
                <c:pt idx="24">
                  <c:v>Hamilton</c:v>
                </c:pt>
                <c:pt idx="25">
                  <c:v>Vancouver</c:v>
                </c:pt>
                <c:pt idx="26">
                  <c:v>Toronto</c:v>
                </c:pt>
              </c:strCache>
            </c:strRef>
          </c:cat>
          <c:val>
            <c:numRef>
              <c:f>Sheet1!$B$6:$AB$6</c:f>
              <c:numCache>
                <c:formatCode>General</c:formatCode>
                <c:ptCount val="27"/>
                <c:pt idx="4">
                  <c:v>3.8</c:v>
                </c:pt>
              </c:numCache>
            </c:numRef>
          </c:val>
        </c:ser>
        <c:ser>
          <c:idx val="5"/>
          <c:order val="5"/>
          <c:tx>
            <c:strRef>
              <c:f>Sheet1!$A$7</c:f>
              <c:strCache>
                <c:ptCount val="1"/>
              </c:strCache>
            </c:strRef>
          </c:tx>
          <c:spPr>
            <a:solidFill>
              <a:srgbClr val="FF8080"/>
            </a:solidFill>
            <a:ln w="12693">
              <a:solidFill>
                <a:srgbClr val="000000"/>
              </a:solidFill>
              <a:prstDash val="solid"/>
            </a:ln>
          </c:spPr>
          <c:invertIfNegative val="0"/>
          <c:dLbls>
            <c:dLbl>
              <c:idx val="5"/>
              <c:spPr>
                <a:noFill/>
                <a:ln w="25386">
                  <a:noFill/>
                </a:ln>
              </c:spPr>
              <c:txPr>
                <a:bodyPr/>
                <a:lstStyle/>
                <a:p>
                  <a:pPr>
                    <a:defRPr sz="9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dLbl>
            <c:spPr>
              <a:noFill/>
              <a:ln w="25386">
                <a:noFill/>
              </a:ln>
            </c:spPr>
            <c:txPr>
              <a:bodyPr/>
              <a:lstStyle/>
              <a:p>
                <a:pPr>
                  <a:defRPr sz="999"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Sheet1!$B$1:$AB$1</c:f>
              <c:strCache>
                <c:ptCount val="27"/>
                <c:pt idx="0">
                  <c:v>Chicoutimi Jonquière</c:v>
                </c:pt>
                <c:pt idx="1">
                  <c:v>Trois-Rivières</c:v>
                </c:pt>
                <c:pt idx="2">
                  <c:v>St. Johns</c:v>
                </c:pt>
                <c:pt idx="3">
                  <c:v>Québec</c:v>
                </c:pt>
                <c:pt idx="4">
                  <c:v>Saint John</c:v>
                </c:pt>
                <c:pt idx="5">
                  <c:v>Sherbrooke</c:v>
                </c:pt>
                <c:pt idx="6">
                  <c:v>Halifax</c:v>
                </c:pt>
                <c:pt idx="7">
                  <c:v>Greater Sudbury</c:v>
                </c:pt>
                <c:pt idx="8">
                  <c:v>Regina</c:v>
                </c:pt>
                <c:pt idx="9">
                  <c:v>Saskatoon</c:v>
                </c:pt>
                <c:pt idx="10">
                  <c:v>Thunder Bay</c:v>
                </c:pt>
                <c:pt idx="11">
                  <c:v>Kingston</c:v>
                </c:pt>
                <c:pt idx="12">
                  <c:v>Oshawa</c:v>
                </c:pt>
                <c:pt idx="13">
                  <c:v>Winnipeg</c:v>
                </c:pt>
                <c:pt idx="14">
                  <c:v>Ottawa-Hull</c:v>
                </c:pt>
                <c:pt idx="15">
                  <c:v>St. Catharines-Niagara</c:v>
                </c:pt>
                <c:pt idx="16">
                  <c:v>Edmonton</c:v>
                </c:pt>
                <c:pt idx="17">
                  <c:v>Montréal</c:v>
                </c:pt>
                <c:pt idx="18">
                  <c:v>Victoria</c:v>
                </c:pt>
                <c:pt idx="19">
                  <c:v>London</c:v>
                </c:pt>
                <c:pt idx="20">
                  <c:v>Calgary</c:v>
                </c:pt>
                <c:pt idx="21">
                  <c:v>Abbotsford</c:v>
                </c:pt>
                <c:pt idx="22">
                  <c:v>Kitchener</c:v>
                </c:pt>
                <c:pt idx="23">
                  <c:v>Windsor</c:v>
                </c:pt>
                <c:pt idx="24">
                  <c:v>Hamilton</c:v>
                </c:pt>
                <c:pt idx="25">
                  <c:v>Vancouver</c:v>
                </c:pt>
                <c:pt idx="26">
                  <c:v>Toronto</c:v>
                </c:pt>
              </c:strCache>
            </c:strRef>
          </c:cat>
          <c:val>
            <c:numRef>
              <c:f>Sheet1!$B$7:$AB$7</c:f>
              <c:numCache>
                <c:formatCode>General</c:formatCode>
                <c:ptCount val="27"/>
                <c:pt idx="5">
                  <c:v>4.5999999999999996</c:v>
                </c:pt>
              </c:numCache>
            </c:numRef>
          </c:val>
        </c:ser>
        <c:ser>
          <c:idx val="6"/>
          <c:order val="6"/>
          <c:tx>
            <c:strRef>
              <c:f>Sheet1!$A$8</c:f>
              <c:strCache>
                <c:ptCount val="1"/>
              </c:strCache>
            </c:strRef>
          </c:tx>
          <c:spPr>
            <a:solidFill>
              <a:srgbClr val="0066CC"/>
            </a:solidFill>
            <a:ln w="12693">
              <a:solidFill>
                <a:srgbClr val="000000"/>
              </a:solidFill>
              <a:prstDash val="solid"/>
            </a:ln>
          </c:spPr>
          <c:invertIfNegative val="0"/>
          <c:dLbls>
            <c:spPr>
              <a:noFill/>
              <a:ln w="25386">
                <a:noFill/>
              </a:ln>
            </c:spPr>
            <c:txPr>
              <a:bodyPr/>
              <a:lstStyle/>
              <a:p>
                <a:pPr>
                  <a:defRPr sz="9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Sheet1!$B$1:$AB$1</c:f>
              <c:strCache>
                <c:ptCount val="27"/>
                <c:pt idx="0">
                  <c:v>Chicoutimi Jonquière</c:v>
                </c:pt>
                <c:pt idx="1">
                  <c:v>Trois-Rivières</c:v>
                </c:pt>
                <c:pt idx="2">
                  <c:v>St. Johns</c:v>
                </c:pt>
                <c:pt idx="3">
                  <c:v>Québec</c:v>
                </c:pt>
                <c:pt idx="4">
                  <c:v>Saint John</c:v>
                </c:pt>
                <c:pt idx="5">
                  <c:v>Sherbrooke</c:v>
                </c:pt>
                <c:pt idx="6">
                  <c:v>Halifax</c:v>
                </c:pt>
                <c:pt idx="7">
                  <c:v>Greater Sudbury</c:v>
                </c:pt>
                <c:pt idx="8">
                  <c:v>Regina</c:v>
                </c:pt>
                <c:pt idx="9">
                  <c:v>Saskatoon</c:v>
                </c:pt>
                <c:pt idx="10">
                  <c:v>Thunder Bay</c:v>
                </c:pt>
                <c:pt idx="11">
                  <c:v>Kingston</c:v>
                </c:pt>
                <c:pt idx="12">
                  <c:v>Oshawa</c:v>
                </c:pt>
                <c:pt idx="13">
                  <c:v>Winnipeg</c:v>
                </c:pt>
                <c:pt idx="14">
                  <c:v>Ottawa-Hull</c:v>
                </c:pt>
                <c:pt idx="15">
                  <c:v>St. Catharines-Niagara</c:v>
                </c:pt>
                <c:pt idx="16">
                  <c:v>Edmonton</c:v>
                </c:pt>
                <c:pt idx="17">
                  <c:v>Montréal</c:v>
                </c:pt>
                <c:pt idx="18">
                  <c:v>Victoria</c:v>
                </c:pt>
                <c:pt idx="19">
                  <c:v>London</c:v>
                </c:pt>
                <c:pt idx="20">
                  <c:v>Calgary</c:v>
                </c:pt>
                <c:pt idx="21">
                  <c:v>Abbotsford</c:v>
                </c:pt>
                <c:pt idx="22">
                  <c:v>Kitchener</c:v>
                </c:pt>
                <c:pt idx="23">
                  <c:v>Windsor</c:v>
                </c:pt>
                <c:pt idx="24">
                  <c:v>Hamilton</c:v>
                </c:pt>
                <c:pt idx="25">
                  <c:v>Vancouver</c:v>
                </c:pt>
                <c:pt idx="26">
                  <c:v>Toronto</c:v>
                </c:pt>
              </c:strCache>
            </c:strRef>
          </c:cat>
          <c:val>
            <c:numRef>
              <c:f>Sheet1!$B$8:$AB$8</c:f>
              <c:numCache>
                <c:formatCode>General</c:formatCode>
                <c:ptCount val="27"/>
                <c:pt idx="6">
                  <c:v>6.9</c:v>
                </c:pt>
              </c:numCache>
            </c:numRef>
          </c:val>
        </c:ser>
        <c:ser>
          <c:idx val="7"/>
          <c:order val="7"/>
          <c:tx>
            <c:strRef>
              <c:f>Sheet1!$A$9</c:f>
              <c:strCache>
                <c:ptCount val="1"/>
              </c:strCache>
            </c:strRef>
          </c:tx>
          <c:spPr>
            <a:solidFill>
              <a:srgbClr val="CCCCFF"/>
            </a:solidFill>
            <a:ln w="12693">
              <a:solidFill>
                <a:srgbClr val="000000"/>
              </a:solidFill>
              <a:prstDash val="solid"/>
            </a:ln>
          </c:spPr>
          <c:invertIfNegative val="0"/>
          <c:dLbls>
            <c:spPr>
              <a:noFill/>
              <a:ln w="25386">
                <a:noFill/>
              </a:ln>
            </c:spPr>
            <c:txPr>
              <a:bodyPr/>
              <a:lstStyle/>
              <a:p>
                <a:pPr>
                  <a:defRPr sz="9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Sheet1!$B$1:$AB$1</c:f>
              <c:strCache>
                <c:ptCount val="27"/>
                <c:pt idx="0">
                  <c:v>Chicoutimi Jonquière</c:v>
                </c:pt>
                <c:pt idx="1">
                  <c:v>Trois-Rivières</c:v>
                </c:pt>
                <c:pt idx="2">
                  <c:v>St. Johns</c:v>
                </c:pt>
                <c:pt idx="3">
                  <c:v>Québec</c:v>
                </c:pt>
                <c:pt idx="4">
                  <c:v>Saint John</c:v>
                </c:pt>
                <c:pt idx="5">
                  <c:v>Sherbrooke</c:v>
                </c:pt>
                <c:pt idx="6">
                  <c:v>Halifax</c:v>
                </c:pt>
                <c:pt idx="7">
                  <c:v>Greater Sudbury</c:v>
                </c:pt>
                <c:pt idx="8">
                  <c:v>Regina</c:v>
                </c:pt>
                <c:pt idx="9">
                  <c:v>Saskatoon</c:v>
                </c:pt>
                <c:pt idx="10">
                  <c:v>Thunder Bay</c:v>
                </c:pt>
                <c:pt idx="11">
                  <c:v>Kingston</c:v>
                </c:pt>
                <c:pt idx="12">
                  <c:v>Oshawa</c:v>
                </c:pt>
                <c:pt idx="13">
                  <c:v>Winnipeg</c:v>
                </c:pt>
                <c:pt idx="14">
                  <c:v>Ottawa-Hull</c:v>
                </c:pt>
                <c:pt idx="15">
                  <c:v>St. Catharines-Niagara</c:v>
                </c:pt>
                <c:pt idx="16">
                  <c:v>Edmonton</c:v>
                </c:pt>
                <c:pt idx="17">
                  <c:v>Montréal</c:v>
                </c:pt>
                <c:pt idx="18">
                  <c:v>Victoria</c:v>
                </c:pt>
                <c:pt idx="19">
                  <c:v>London</c:v>
                </c:pt>
                <c:pt idx="20">
                  <c:v>Calgary</c:v>
                </c:pt>
                <c:pt idx="21">
                  <c:v>Abbotsford</c:v>
                </c:pt>
                <c:pt idx="22">
                  <c:v>Kitchener</c:v>
                </c:pt>
                <c:pt idx="23">
                  <c:v>Windsor</c:v>
                </c:pt>
                <c:pt idx="24">
                  <c:v>Hamilton</c:v>
                </c:pt>
                <c:pt idx="25">
                  <c:v>Vancouver</c:v>
                </c:pt>
                <c:pt idx="26">
                  <c:v>Toronto</c:v>
                </c:pt>
              </c:strCache>
            </c:strRef>
          </c:cat>
          <c:val>
            <c:numRef>
              <c:f>Sheet1!$B$9:$AB$9</c:f>
              <c:numCache>
                <c:formatCode>General</c:formatCode>
                <c:ptCount val="27"/>
                <c:pt idx="7">
                  <c:v>7</c:v>
                </c:pt>
              </c:numCache>
            </c:numRef>
          </c:val>
        </c:ser>
        <c:ser>
          <c:idx val="8"/>
          <c:order val="8"/>
          <c:tx>
            <c:strRef>
              <c:f>Sheet1!$A$10</c:f>
              <c:strCache>
                <c:ptCount val="1"/>
              </c:strCache>
            </c:strRef>
          </c:tx>
          <c:spPr>
            <a:solidFill>
              <a:srgbClr val="000080"/>
            </a:solidFill>
            <a:ln w="12693">
              <a:solidFill>
                <a:srgbClr val="000000"/>
              </a:solidFill>
              <a:prstDash val="solid"/>
            </a:ln>
          </c:spPr>
          <c:invertIfNegative val="0"/>
          <c:dLbls>
            <c:dLbl>
              <c:idx val="8"/>
              <c:spPr>
                <a:noFill/>
                <a:ln w="25386">
                  <a:noFill/>
                </a:ln>
              </c:spPr>
              <c:txPr>
                <a:bodyPr/>
                <a:lstStyle/>
                <a:p>
                  <a:pPr>
                    <a:defRPr sz="9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dLbl>
            <c:spPr>
              <a:noFill/>
              <a:ln w="25386">
                <a:noFill/>
              </a:ln>
            </c:spPr>
            <c:txPr>
              <a:bodyPr/>
              <a:lstStyle/>
              <a:p>
                <a:pPr>
                  <a:defRPr sz="999"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Sheet1!$B$1:$AB$1</c:f>
              <c:strCache>
                <c:ptCount val="27"/>
                <c:pt idx="0">
                  <c:v>Chicoutimi Jonquière</c:v>
                </c:pt>
                <c:pt idx="1">
                  <c:v>Trois-Rivières</c:v>
                </c:pt>
                <c:pt idx="2">
                  <c:v>St. Johns</c:v>
                </c:pt>
                <c:pt idx="3">
                  <c:v>Québec</c:v>
                </c:pt>
                <c:pt idx="4">
                  <c:v>Saint John</c:v>
                </c:pt>
                <c:pt idx="5">
                  <c:v>Sherbrooke</c:v>
                </c:pt>
                <c:pt idx="6">
                  <c:v>Halifax</c:v>
                </c:pt>
                <c:pt idx="7">
                  <c:v>Greater Sudbury</c:v>
                </c:pt>
                <c:pt idx="8">
                  <c:v>Regina</c:v>
                </c:pt>
                <c:pt idx="9">
                  <c:v>Saskatoon</c:v>
                </c:pt>
                <c:pt idx="10">
                  <c:v>Thunder Bay</c:v>
                </c:pt>
                <c:pt idx="11">
                  <c:v>Kingston</c:v>
                </c:pt>
                <c:pt idx="12">
                  <c:v>Oshawa</c:v>
                </c:pt>
                <c:pt idx="13">
                  <c:v>Winnipeg</c:v>
                </c:pt>
                <c:pt idx="14">
                  <c:v>Ottawa-Hull</c:v>
                </c:pt>
                <c:pt idx="15">
                  <c:v>St. Catharines-Niagara</c:v>
                </c:pt>
                <c:pt idx="16">
                  <c:v>Edmonton</c:v>
                </c:pt>
                <c:pt idx="17">
                  <c:v>Montréal</c:v>
                </c:pt>
                <c:pt idx="18">
                  <c:v>Victoria</c:v>
                </c:pt>
                <c:pt idx="19">
                  <c:v>London</c:v>
                </c:pt>
                <c:pt idx="20">
                  <c:v>Calgary</c:v>
                </c:pt>
                <c:pt idx="21">
                  <c:v>Abbotsford</c:v>
                </c:pt>
                <c:pt idx="22">
                  <c:v>Kitchener</c:v>
                </c:pt>
                <c:pt idx="23">
                  <c:v>Windsor</c:v>
                </c:pt>
                <c:pt idx="24">
                  <c:v>Hamilton</c:v>
                </c:pt>
                <c:pt idx="25">
                  <c:v>Vancouver</c:v>
                </c:pt>
                <c:pt idx="26">
                  <c:v>Toronto</c:v>
                </c:pt>
              </c:strCache>
            </c:strRef>
          </c:cat>
          <c:val>
            <c:numRef>
              <c:f>Sheet1!$B$10:$AB$10</c:f>
              <c:numCache>
                <c:formatCode>General</c:formatCode>
                <c:ptCount val="27"/>
                <c:pt idx="8">
                  <c:v>7.4</c:v>
                </c:pt>
              </c:numCache>
            </c:numRef>
          </c:val>
        </c:ser>
        <c:ser>
          <c:idx val="9"/>
          <c:order val="9"/>
          <c:tx>
            <c:strRef>
              <c:f>Sheet1!$A$11</c:f>
              <c:strCache>
                <c:ptCount val="1"/>
              </c:strCache>
            </c:strRef>
          </c:tx>
          <c:spPr>
            <a:solidFill>
              <a:srgbClr val="FF00FF"/>
            </a:solidFill>
            <a:ln w="12693">
              <a:solidFill>
                <a:srgbClr val="000000"/>
              </a:solidFill>
              <a:prstDash val="solid"/>
            </a:ln>
          </c:spPr>
          <c:invertIfNegative val="0"/>
          <c:dLbls>
            <c:spPr>
              <a:noFill/>
              <a:ln w="25386">
                <a:noFill/>
              </a:ln>
            </c:spPr>
            <c:txPr>
              <a:bodyPr/>
              <a:lstStyle/>
              <a:p>
                <a:pPr>
                  <a:defRPr sz="9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Sheet1!$B$1:$AB$1</c:f>
              <c:strCache>
                <c:ptCount val="27"/>
                <c:pt idx="0">
                  <c:v>Chicoutimi Jonquière</c:v>
                </c:pt>
                <c:pt idx="1">
                  <c:v>Trois-Rivières</c:v>
                </c:pt>
                <c:pt idx="2">
                  <c:v>St. Johns</c:v>
                </c:pt>
                <c:pt idx="3">
                  <c:v>Québec</c:v>
                </c:pt>
                <c:pt idx="4">
                  <c:v>Saint John</c:v>
                </c:pt>
                <c:pt idx="5">
                  <c:v>Sherbrooke</c:v>
                </c:pt>
                <c:pt idx="6">
                  <c:v>Halifax</c:v>
                </c:pt>
                <c:pt idx="7">
                  <c:v>Greater Sudbury</c:v>
                </c:pt>
                <c:pt idx="8">
                  <c:v>Regina</c:v>
                </c:pt>
                <c:pt idx="9">
                  <c:v>Saskatoon</c:v>
                </c:pt>
                <c:pt idx="10">
                  <c:v>Thunder Bay</c:v>
                </c:pt>
                <c:pt idx="11">
                  <c:v>Kingston</c:v>
                </c:pt>
                <c:pt idx="12">
                  <c:v>Oshawa</c:v>
                </c:pt>
                <c:pt idx="13">
                  <c:v>Winnipeg</c:v>
                </c:pt>
                <c:pt idx="14">
                  <c:v>Ottawa-Hull</c:v>
                </c:pt>
                <c:pt idx="15">
                  <c:v>St. Catharines-Niagara</c:v>
                </c:pt>
                <c:pt idx="16">
                  <c:v>Edmonton</c:v>
                </c:pt>
                <c:pt idx="17">
                  <c:v>Montréal</c:v>
                </c:pt>
                <c:pt idx="18">
                  <c:v>Victoria</c:v>
                </c:pt>
                <c:pt idx="19">
                  <c:v>London</c:v>
                </c:pt>
                <c:pt idx="20">
                  <c:v>Calgary</c:v>
                </c:pt>
                <c:pt idx="21">
                  <c:v>Abbotsford</c:v>
                </c:pt>
                <c:pt idx="22">
                  <c:v>Kitchener</c:v>
                </c:pt>
                <c:pt idx="23">
                  <c:v>Windsor</c:v>
                </c:pt>
                <c:pt idx="24">
                  <c:v>Hamilton</c:v>
                </c:pt>
                <c:pt idx="25">
                  <c:v>Vancouver</c:v>
                </c:pt>
                <c:pt idx="26">
                  <c:v>Toronto</c:v>
                </c:pt>
              </c:strCache>
            </c:strRef>
          </c:cat>
          <c:val>
            <c:numRef>
              <c:f>Sheet1!$B$11:$AB$11</c:f>
              <c:numCache>
                <c:formatCode>General</c:formatCode>
                <c:ptCount val="27"/>
                <c:pt idx="9">
                  <c:v>7.6</c:v>
                </c:pt>
              </c:numCache>
            </c:numRef>
          </c:val>
        </c:ser>
        <c:ser>
          <c:idx val="10"/>
          <c:order val="10"/>
          <c:tx>
            <c:strRef>
              <c:f>Sheet1!$A$12</c:f>
              <c:strCache>
                <c:ptCount val="1"/>
              </c:strCache>
            </c:strRef>
          </c:tx>
          <c:spPr>
            <a:solidFill>
              <a:srgbClr val="FFFF00"/>
            </a:solidFill>
            <a:ln w="12693">
              <a:solidFill>
                <a:srgbClr val="000000"/>
              </a:solidFill>
              <a:prstDash val="solid"/>
            </a:ln>
          </c:spPr>
          <c:invertIfNegative val="0"/>
          <c:dLbls>
            <c:dLbl>
              <c:idx val="10"/>
              <c:spPr>
                <a:noFill/>
                <a:ln w="25386">
                  <a:noFill/>
                </a:ln>
              </c:spPr>
              <c:txPr>
                <a:bodyPr/>
                <a:lstStyle/>
                <a:p>
                  <a:pPr>
                    <a:defRPr sz="9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dLbl>
            <c:spPr>
              <a:noFill/>
              <a:ln w="25386">
                <a:noFill/>
              </a:ln>
            </c:spPr>
            <c:txPr>
              <a:bodyPr/>
              <a:lstStyle/>
              <a:p>
                <a:pPr>
                  <a:defRPr sz="999"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Sheet1!$B$1:$AB$1</c:f>
              <c:strCache>
                <c:ptCount val="27"/>
                <c:pt idx="0">
                  <c:v>Chicoutimi Jonquière</c:v>
                </c:pt>
                <c:pt idx="1">
                  <c:v>Trois-Rivières</c:v>
                </c:pt>
                <c:pt idx="2">
                  <c:v>St. Johns</c:v>
                </c:pt>
                <c:pt idx="3">
                  <c:v>Québec</c:v>
                </c:pt>
                <c:pt idx="4">
                  <c:v>Saint John</c:v>
                </c:pt>
                <c:pt idx="5">
                  <c:v>Sherbrooke</c:v>
                </c:pt>
                <c:pt idx="6">
                  <c:v>Halifax</c:v>
                </c:pt>
                <c:pt idx="7">
                  <c:v>Greater Sudbury</c:v>
                </c:pt>
                <c:pt idx="8">
                  <c:v>Regina</c:v>
                </c:pt>
                <c:pt idx="9">
                  <c:v>Saskatoon</c:v>
                </c:pt>
                <c:pt idx="10">
                  <c:v>Thunder Bay</c:v>
                </c:pt>
                <c:pt idx="11">
                  <c:v>Kingston</c:v>
                </c:pt>
                <c:pt idx="12">
                  <c:v>Oshawa</c:v>
                </c:pt>
                <c:pt idx="13">
                  <c:v>Winnipeg</c:v>
                </c:pt>
                <c:pt idx="14">
                  <c:v>Ottawa-Hull</c:v>
                </c:pt>
                <c:pt idx="15">
                  <c:v>St. Catharines-Niagara</c:v>
                </c:pt>
                <c:pt idx="16">
                  <c:v>Edmonton</c:v>
                </c:pt>
                <c:pt idx="17">
                  <c:v>Montréal</c:v>
                </c:pt>
                <c:pt idx="18">
                  <c:v>Victoria</c:v>
                </c:pt>
                <c:pt idx="19">
                  <c:v>London</c:v>
                </c:pt>
                <c:pt idx="20">
                  <c:v>Calgary</c:v>
                </c:pt>
                <c:pt idx="21">
                  <c:v>Abbotsford</c:v>
                </c:pt>
                <c:pt idx="22">
                  <c:v>Kitchener</c:v>
                </c:pt>
                <c:pt idx="23">
                  <c:v>Windsor</c:v>
                </c:pt>
                <c:pt idx="24">
                  <c:v>Hamilton</c:v>
                </c:pt>
                <c:pt idx="25">
                  <c:v>Vancouver</c:v>
                </c:pt>
                <c:pt idx="26">
                  <c:v>Toronto</c:v>
                </c:pt>
              </c:strCache>
            </c:strRef>
          </c:cat>
          <c:val>
            <c:numRef>
              <c:f>Sheet1!$B$12:$AB$12</c:f>
              <c:numCache>
                <c:formatCode>General</c:formatCode>
                <c:ptCount val="27"/>
                <c:pt idx="10">
                  <c:v>11.1</c:v>
                </c:pt>
              </c:numCache>
            </c:numRef>
          </c:val>
        </c:ser>
        <c:ser>
          <c:idx val="11"/>
          <c:order val="11"/>
          <c:tx>
            <c:strRef>
              <c:f>Sheet1!$A$13</c:f>
              <c:strCache>
                <c:ptCount val="1"/>
              </c:strCache>
            </c:strRef>
          </c:tx>
          <c:spPr>
            <a:solidFill>
              <a:srgbClr val="00FFFF"/>
            </a:solidFill>
            <a:ln w="12693">
              <a:solidFill>
                <a:srgbClr val="000000"/>
              </a:solidFill>
              <a:prstDash val="solid"/>
            </a:ln>
          </c:spPr>
          <c:invertIfNegative val="0"/>
          <c:dLbls>
            <c:spPr>
              <a:noFill/>
              <a:ln w="25386">
                <a:noFill/>
              </a:ln>
            </c:spPr>
            <c:txPr>
              <a:bodyPr/>
              <a:lstStyle/>
              <a:p>
                <a:pPr>
                  <a:defRPr sz="9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Sheet1!$B$1:$AB$1</c:f>
              <c:strCache>
                <c:ptCount val="27"/>
                <c:pt idx="0">
                  <c:v>Chicoutimi Jonquière</c:v>
                </c:pt>
                <c:pt idx="1">
                  <c:v>Trois-Rivières</c:v>
                </c:pt>
                <c:pt idx="2">
                  <c:v>St. Johns</c:v>
                </c:pt>
                <c:pt idx="3">
                  <c:v>Québec</c:v>
                </c:pt>
                <c:pt idx="4">
                  <c:v>Saint John</c:v>
                </c:pt>
                <c:pt idx="5">
                  <c:v>Sherbrooke</c:v>
                </c:pt>
                <c:pt idx="6">
                  <c:v>Halifax</c:v>
                </c:pt>
                <c:pt idx="7">
                  <c:v>Greater Sudbury</c:v>
                </c:pt>
                <c:pt idx="8">
                  <c:v>Regina</c:v>
                </c:pt>
                <c:pt idx="9">
                  <c:v>Saskatoon</c:v>
                </c:pt>
                <c:pt idx="10">
                  <c:v>Thunder Bay</c:v>
                </c:pt>
                <c:pt idx="11">
                  <c:v>Kingston</c:v>
                </c:pt>
                <c:pt idx="12">
                  <c:v>Oshawa</c:v>
                </c:pt>
                <c:pt idx="13">
                  <c:v>Winnipeg</c:v>
                </c:pt>
                <c:pt idx="14">
                  <c:v>Ottawa-Hull</c:v>
                </c:pt>
                <c:pt idx="15">
                  <c:v>St. Catharines-Niagara</c:v>
                </c:pt>
                <c:pt idx="16">
                  <c:v>Edmonton</c:v>
                </c:pt>
                <c:pt idx="17">
                  <c:v>Montréal</c:v>
                </c:pt>
                <c:pt idx="18">
                  <c:v>Victoria</c:v>
                </c:pt>
                <c:pt idx="19">
                  <c:v>London</c:v>
                </c:pt>
                <c:pt idx="20">
                  <c:v>Calgary</c:v>
                </c:pt>
                <c:pt idx="21">
                  <c:v>Abbotsford</c:v>
                </c:pt>
                <c:pt idx="22">
                  <c:v>Kitchener</c:v>
                </c:pt>
                <c:pt idx="23">
                  <c:v>Windsor</c:v>
                </c:pt>
                <c:pt idx="24">
                  <c:v>Hamilton</c:v>
                </c:pt>
                <c:pt idx="25">
                  <c:v>Vancouver</c:v>
                </c:pt>
                <c:pt idx="26">
                  <c:v>Toronto</c:v>
                </c:pt>
              </c:strCache>
            </c:strRef>
          </c:cat>
          <c:val>
            <c:numRef>
              <c:f>Sheet1!$B$13:$AB$13</c:f>
              <c:numCache>
                <c:formatCode>General</c:formatCode>
                <c:ptCount val="27"/>
                <c:pt idx="11">
                  <c:v>12.4</c:v>
                </c:pt>
              </c:numCache>
            </c:numRef>
          </c:val>
        </c:ser>
        <c:ser>
          <c:idx val="12"/>
          <c:order val="12"/>
          <c:tx>
            <c:strRef>
              <c:f>Sheet1!$A$14</c:f>
              <c:strCache>
                <c:ptCount val="1"/>
              </c:strCache>
            </c:strRef>
          </c:tx>
          <c:spPr>
            <a:solidFill>
              <a:srgbClr val="800080"/>
            </a:solidFill>
            <a:ln w="12693">
              <a:solidFill>
                <a:srgbClr val="000000"/>
              </a:solidFill>
              <a:prstDash val="solid"/>
            </a:ln>
          </c:spPr>
          <c:invertIfNegative val="0"/>
          <c:dLbls>
            <c:dLbl>
              <c:idx val="12"/>
              <c:spPr>
                <a:noFill/>
                <a:ln w="25386">
                  <a:noFill/>
                </a:ln>
              </c:spPr>
              <c:txPr>
                <a:bodyPr/>
                <a:lstStyle/>
                <a:p>
                  <a:pPr>
                    <a:defRPr sz="9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dLbl>
            <c:spPr>
              <a:noFill/>
              <a:ln w="25386">
                <a:noFill/>
              </a:ln>
            </c:spPr>
            <c:txPr>
              <a:bodyPr/>
              <a:lstStyle/>
              <a:p>
                <a:pPr>
                  <a:defRPr sz="999"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Sheet1!$B$1:$AB$1</c:f>
              <c:strCache>
                <c:ptCount val="27"/>
                <c:pt idx="0">
                  <c:v>Chicoutimi Jonquière</c:v>
                </c:pt>
                <c:pt idx="1">
                  <c:v>Trois-Rivières</c:v>
                </c:pt>
                <c:pt idx="2">
                  <c:v>St. Johns</c:v>
                </c:pt>
                <c:pt idx="3">
                  <c:v>Québec</c:v>
                </c:pt>
                <c:pt idx="4">
                  <c:v>Saint John</c:v>
                </c:pt>
                <c:pt idx="5">
                  <c:v>Sherbrooke</c:v>
                </c:pt>
                <c:pt idx="6">
                  <c:v>Halifax</c:v>
                </c:pt>
                <c:pt idx="7">
                  <c:v>Greater Sudbury</c:v>
                </c:pt>
                <c:pt idx="8">
                  <c:v>Regina</c:v>
                </c:pt>
                <c:pt idx="9">
                  <c:v>Saskatoon</c:v>
                </c:pt>
                <c:pt idx="10">
                  <c:v>Thunder Bay</c:v>
                </c:pt>
                <c:pt idx="11">
                  <c:v>Kingston</c:v>
                </c:pt>
                <c:pt idx="12">
                  <c:v>Oshawa</c:v>
                </c:pt>
                <c:pt idx="13">
                  <c:v>Winnipeg</c:v>
                </c:pt>
                <c:pt idx="14">
                  <c:v>Ottawa-Hull</c:v>
                </c:pt>
                <c:pt idx="15">
                  <c:v>St. Catharines-Niagara</c:v>
                </c:pt>
                <c:pt idx="16">
                  <c:v>Edmonton</c:v>
                </c:pt>
                <c:pt idx="17">
                  <c:v>Montréal</c:v>
                </c:pt>
                <c:pt idx="18">
                  <c:v>Victoria</c:v>
                </c:pt>
                <c:pt idx="19">
                  <c:v>London</c:v>
                </c:pt>
                <c:pt idx="20">
                  <c:v>Calgary</c:v>
                </c:pt>
                <c:pt idx="21">
                  <c:v>Abbotsford</c:v>
                </c:pt>
                <c:pt idx="22">
                  <c:v>Kitchener</c:v>
                </c:pt>
                <c:pt idx="23">
                  <c:v>Windsor</c:v>
                </c:pt>
                <c:pt idx="24">
                  <c:v>Hamilton</c:v>
                </c:pt>
                <c:pt idx="25">
                  <c:v>Vancouver</c:v>
                </c:pt>
                <c:pt idx="26">
                  <c:v>Toronto</c:v>
                </c:pt>
              </c:strCache>
            </c:strRef>
          </c:cat>
          <c:val>
            <c:numRef>
              <c:f>Sheet1!$B$14:$AB$14</c:f>
              <c:numCache>
                <c:formatCode>General</c:formatCode>
                <c:ptCount val="27"/>
                <c:pt idx="12">
                  <c:v>15.7</c:v>
                </c:pt>
              </c:numCache>
            </c:numRef>
          </c:val>
        </c:ser>
        <c:ser>
          <c:idx val="13"/>
          <c:order val="13"/>
          <c:tx>
            <c:strRef>
              <c:f>Sheet1!$A$15</c:f>
              <c:strCache>
                <c:ptCount val="1"/>
              </c:strCache>
            </c:strRef>
          </c:tx>
          <c:spPr>
            <a:solidFill>
              <a:srgbClr val="800000"/>
            </a:solidFill>
            <a:ln w="12693">
              <a:solidFill>
                <a:srgbClr val="000000"/>
              </a:solidFill>
              <a:prstDash val="solid"/>
            </a:ln>
          </c:spPr>
          <c:invertIfNegative val="0"/>
          <c:dLbls>
            <c:spPr>
              <a:noFill/>
              <a:ln w="25386">
                <a:noFill/>
              </a:ln>
            </c:spPr>
            <c:txPr>
              <a:bodyPr/>
              <a:lstStyle/>
              <a:p>
                <a:pPr>
                  <a:defRPr sz="9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Sheet1!$B$1:$AB$1</c:f>
              <c:strCache>
                <c:ptCount val="27"/>
                <c:pt idx="0">
                  <c:v>Chicoutimi Jonquière</c:v>
                </c:pt>
                <c:pt idx="1">
                  <c:v>Trois-Rivières</c:v>
                </c:pt>
                <c:pt idx="2">
                  <c:v>St. Johns</c:v>
                </c:pt>
                <c:pt idx="3">
                  <c:v>Québec</c:v>
                </c:pt>
                <c:pt idx="4">
                  <c:v>Saint John</c:v>
                </c:pt>
                <c:pt idx="5">
                  <c:v>Sherbrooke</c:v>
                </c:pt>
                <c:pt idx="6">
                  <c:v>Halifax</c:v>
                </c:pt>
                <c:pt idx="7">
                  <c:v>Greater Sudbury</c:v>
                </c:pt>
                <c:pt idx="8">
                  <c:v>Regina</c:v>
                </c:pt>
                <c:pt idx="9">
                  <c:v>Saskatoon</c:v>
                </c:pt>
                <c:pt idx="10">
                  <c:v>Thunder Bay</c:v>
                </c:pt>
                <c:pt idx="11">
                  <c:v>Kingston</c:v>
                </c:pt>
                <c:pt idx="12">
                  <c:v>Oshawa</c:v>
                </c:pt>
                <c:pt idx="13">
                  <c:v>Winnipeg</c:v>
                </c:pt>
                <c:pt idx="14">
                  <c:v>Ottawa-Hull</c:v>
                </c:pt>
                <c:pt idx="15">
                  <c:v>St. Catharines-Niagara</c:v>
                </c:pt>
                <c:pt idx="16">
                  <c:v>Edmonton</c:v>
                </c:pt>
                <c:pt idx="17">
                  <c:v>Montréal</c:v>
                </c:pt>
                <c:pt idx="18">
                  <c:v>Victoria</c:v>
                </c:pt>
                <c:pt idx="19">
                  <c:v>London</c:v>
                </c:pt>
                <c:pt idx="20">
                  <c:v>Calgary</c:v>
                </c:pt>
                <c:pt idx="21">
                  <c:v>Abbotsford</c:v>
                </c:pt>
                <c:pt idx="22">
                  <c:v>Kitchener</c:v>
                </c:pt>
                <c:pt idx="23">
                  <c:v>Windsor</c:v>
                </c:pt>
                <c:pt idx="24">
                  <c:v>Hamilton</c:v>
                </c:pt>
                <c:pt idx="25">
                  <c:v>Vancouver</c:v>
                </c:pt>
                <c:pt idx="26">
                  <c:v>Toronto</c:v>
                </c:pt>
              </c:strCache>
            </c:strRef>
          </c:cat>
          <c:val>
            <c:numRef>
              <c:f>Sheet1!$B$15:$AB$15</c:f>
              <c:numCache>
                <c:formatCode>General</c:formatCode>
                <c:ptCount val="27"/>
                <c:pt idx="13">
                  <c:v>16.5</c:v>
                </c:pt>
              </c:numCache>
            </c:numRef>
          </c:val>
        </c:ser>
        <c:ser>
          <c:idx val="14"/>
          <c:order val="14"/>
          <c:tx>
            <c:strRef>
              <c:f>Sheet1!$A$16</c:f>
              <c:strCache>
                <c:ptCount val="1"/>
              </c:strCache>
            </c:strRef>
          </c:tx>
          <c:spPr>
            <a:solidFill>
              <a:srgbClr val="008080"/>
            </a:solidFill>
            <a:ln w="12693">
              <a:solidFill>
                <a:srgbClr val="000000"/>
              </a:solidFill>
              <a:prstDash val="solid"/>
            </a:ln>
          </c:spPr>
          <c:invertIfNegative val="0"/>
          <c:dLbls>
            <c:dLbl>
              <c:idx val="14"/>
              <c:spPr>
                <a:noFill/>
                <a:ln w="25386">
                  <a:noFill/>
                </a:ln>
              </c:spPr>
              <c:txPr>
                <a:bodyPr/>
                <a:lstStyle/>
                <a:p>
                  <a:pPr>
                    <a:defRPr sz="9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dLbl>
            <c:spPr>
              <a:noFill/>
              <a:ln w="25386">
                <a:noFill/>
              </a:ln>
            </c:spPr>
            <c:txPr>
              <a:bodyPr/>
              <a:lstStyle/>
              <a:p>
                <a:pPr>
                  <a:defRPr sz="999"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Sheet1!$B$1:$AB$1</c:f>
              <c:strCache>
                <c:ptCount val="27"/>
                <c:pt idx="0">
                  <c:v>Chicoutimi Jonquière</c:v>
                </c:pt>
                <c:pt idx="1">
                  <c:v>Trois-Rivières</c:v>
                </c:pt>
                <c:pt idx="2">
                  <c:v>St. Johns</c:v>
                </c:pt>
                <c:pt idx="3">
                  <c:v>Québec</c:v>
                </c:pt>
                <c:pt idx="4">
                  <c:v>Saint John</c:v>
                </c:pt>
                <c:pt idx="5">
                  <c:v>Sherbrooke</c:v>
                </c:pt>
                <c:pt idx="6">
                  <c:v>Halifax</c:v>
                </c:pt>
                <c:pt idx="7">
                  <c:v>Greater Sudbury</c:v>
                </c:pt>
                <c:pt idx="8">
                  <c:v>Regina</c:v>
                </c:pt>
                <c:pt idx="9">
                  <c:v>Saskatoon</c:v>
                </c:pt>
                <c:pt idx="10">
                  <c:v>Thunder Bay</c:v>
                </c:pt>
                <c:pt idx="11">
                  <c:v>Kingston</c:v>
                </c:pt>
                <c:pt idx="12">
                  <c:v>Oshawa</c:v>
                </c:pt>
                <c:pt idx="13">
                  <c:v>Winnipeg</c:v>
                </c:pt>
                <c:pt idx="14">
                  <c:v>Ottawa-Hull</c:v>
                </c:pt>
                <c:pt idx="15">
                  <c:v>St. Catharines-Niagara</c:v>
                </c:pt>
                <c:pt idx="16">
                  <c:v>Edmonton</c:v>
                </c:pt>
                <c:pt idx="17">
                  <c:v>Montréal</c:v>
                </c:pt>
                <c:pt idx="18">
                  <c:v>Victoria</c:v>
                </c:pt>
                <c:pt idx="19">
                  <c:v>London</c:v>
                </c:pt>
                <c:pt idx="20">
                  <c:v>Calgary</c:v>
                </c:pt>
                <c:pt idx="21">
                  <c:v>Abbotsford</c:v>
                </c:pt>
                <c:pt idx="22">
                  <c:v>Kitchener</c:v>
                </c:pt>
                <c:pt idx="23">
                  <c:v>Windsor</c:v>
                </c:pt>
                <c:pt idx="24">
                  <c:v>Hamilton</c:v>
                </c:pt>
                <c:pt idx="25">
                  <c:v>Vancouver</c:v>
                </c:pt>
                <c:pt idx="26">
                  <c:v>Toronto</c:v>
                </c:pt>
              </c:strCache>
            </c:strRef>
          </c:cat>
          <c:val>
            <c:numRef>
              <c:f>Sheet1!$B$16:$AB$16</c:f>
              <c:numCache>
                <c:formatCode>General</c:formatCode>
                <c:ptCount val="27"/>
                <c:pt idx="14">
                  <c:v>17.600000000000001</c:v>
                </c:pt>
              </c:numCache>
            </c:numRef>
          </c:val>
        </c:ser>
        <c:ser>
          <c:idx val="15"/>
          <c:order val="15"/>
          <c:tx>
            <c:strRef>
              <c:f>Sheet1!$A$17</c:f>
              <c:strCache>
                <c:ptCount val="1"/>
              </c:strCache>
            </c:strRef>
          </c:tx>
          <c:spPr>
            <a:solidFill>
              <a:srgbClr val="0000FF"/>
            </a:solidFill>
            <a:ln w="12693">
              <a:solidFill>
                <a:srgbClr val="000000"/>
              </a:solidFill>
              <a:prstDash val="solid"/>
            </a:ln>
          </c:spPr>
          <c:invertIfNegative val="0"/>
          <c:dLbls>
            <c:spPr>
              <a:noFill/>
              <a:ln w="25386">
                <a:noFill/>
              </a:ln>
            </c:spPr>
            <c:txPr>
              <a:bodyPr/>
              <a:lstStyle/>
              <a:p>
                <a:pPr>
                  <a:defRPr sz="9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Sheet1!$B$1:$AB$1</c:f>
              <c:strCache>
                <c:ptCount val="27"/>
                <c:pt idx="0">
                  <c:v>Chicoutimi Jonquière</c:v>
                </c:pt>
                <c:pt idx="1">
                  <c:v>Trois-Rivières</c:v>
                </c:pt>
                <c:pt idx="2">
                  <c:v>St. Johns</c:v>
                </c:pt>
                <c:pt idx="3">
                  <c:v>Québec</c:v>
                </c:pt>
                <c:pt idx="4">
                  <c:v>Saint John</c:v>
                </c:pt>
                <c:pt idx="5">
                  <c:v>Sherbrooke</c:v>
                </c:pt>
                <c:pt idx="6">
                  <c:v>Halifax</c:v>
                </c:pt>
                <c:pt idx="7">
                  <c:v>Greater Sudbury</c:v>
                </c:pt>
                <c:pt idx="8">
                  <c:v>Regina</c:v>
                </c:pt>
                <c:pt idx="9">
                  <c:v>Saskatoon</c:v>
                </c:pt>
                <c:pt idx="10">
                  <c:v>Thunder Bay</c:v>
                </c:pt>
                <c:pt idx="11">
                  <c:v>Kingston</c:v>
                </c:pt>
                <c:pt idx="12">
                  <c:v>Oshawa</c:v>
                </c:pt>
                <c:pt idx="13">
                  <c:v>Winnipeg</c:v>
                </c:pt>
                <c:pt idx="14">
                  <c:v>Ottawa-Hull</c:v>
                </c:pt>
                <c:pt idx="15">
                  <c:v>St. Catharines-Niagara</c:v>
                </c:pt>
                <c:pt idx="16">
                  <c:v>Edmonton</c:v>
                </c:pt>
                <c:pt idx="17">
                  <c:v>Montréal</c:v>
                </c:pt>
                <c:pt idx="18">
                  <c:v>Victoria</c:v>
                </c:pt>
                <c:pt idx="19">
                  <c:v>London</c:v>
                </c:pt>
                <c:pt idx="20">
                  <c:v>Calgary</c:v>
                </c:pt>
                <c:pt idx="21">
                  <c:v>Abbotsford</c:v>
                </c:pt>
                <c:pt idx="22">
                  <c:v>Kitchener</c:v>
                </c:pt>
                <c:pt idx="23">
                  <c:v>Windsor</c:v>
                </c:pt>
                <c:pt idx="24">
                  <c:v>Hamilton</c:v>
                </c:pt>
                <c:pt idx="25">
                  <c:v>Vancouver</c:v>
                </c:pt>
                <c:pt idx="26">
                  <c:v>Toronto</c:v>
                </c:pt>
              </c:strCache>
            </c:strRef>
          </c:cat>
          <c:val>
            <c:numRef>
              <c:f>Sheet1!$B$17:$AB$17</c:f>
              <c:numCache>
                <c:formatCode>General</c:formatCode>
                <c:ptCount val="27"/>
                <c:pt idx="15">
                  <c:v>17.8</c:v>
                </c:pt>
              </c:numCache>
            </c:numRef>
          </c:val>
        </c:ser>
        <c:ser>
          <c:idx val="16"/>
          <c:order val="16"/>
          <c:tx>
            <c:strRef>
              <c:f>Sheet1!$A$18</c:f>
              <c:strCache>
                <c:ptCount val="1"/>
              </c:strCache>
            </c:strRef>
          </c:tx>
          <c:spPr>
            <a:solidFill>
              <a:srgbClr val="00CCFF"/>
            </a:solidFill>
            <a:ln w="12693">
              <a:solidFill>
                <a:srgbClr val="000000"/>
              </a:solidFill>
              <a:prstDash val="solid"/>
            </a:ln>
          </c:spPr>
          <c:invertIfNegative val="0"/>
          <c:dLbls>
            <c:dLbl>
              <c:idx val="16"/>
              <c:spPr>
                <a:noFill/>
                <a:ln w="25386">
                  <a:noFill/>
                </a:ln>
              </c:spPr>
              <c:txPr>
                <a:bodyPr/>
                <a:lstStyle/>
                <a:p>
                  <a:pPr>
                    <a:defRPr sz="9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dLbl>
            <c:spPr>
              <a:noFill/>
              <a:ln w="25386">
                <a:noFill/>
              </a:ln>
            </c:spPr>
            <c:txPr>
              <a:bodyPr/>
              <a:lstStyle/>
              <a:p>
                <a:pPr>
                  <a:defRPr sz="999"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Sheet1!$B$1:$AB$1</c:f>
              <c:strCache>
                <c:ptCount val="27"/>
                <c:pt idx="0">
                  <c:v>Chicoutimi Jonquière</c:v>
                </c:pt>
                <c:pt idx="1">
                  <c:v>Trois-Rivières</c:v>
                </c:pt>
                <c:pt idx="2">
                  <c:v>St. Johns</c:v>
                </c:pt>
                <c:pt idx="3">
                  <c:v>Québec</c:v>
                </c:pt>
                <c:pt idx="4">
                  <c:v>Saint John</c:v>
                </c:pt>
                <c:pt idx="5">
                  <c:v>Sherbrooke</c:v>
                </c:pt>
                <c:pt idx="6">
                  <c:v>Halifax</c:v>
                </c:pt>
                <c:pt idx="7">
                  <c:v>Greater Sudbury</c:v>
                </c:pt>
                <c:pt idx="8">
                  <c:v>Regina</c:v>
                </c:pt>
                <c:pt idx="9">
                  <c:v>Saskatoon</c:v>
                </c:pt>
                <c:pt idx="10">
                  <c:v>Thunder Bay</c:v>
                </c:pt>
                <c:pt idx="11">
                  <c:v>Kingston</c:v>
                </c:pt>
                <c:pt idx="12">
                  <c:v>Oshawa</c:v>
                </c:pt>
                <c:pt idx="13">
                  <c:v>Winnipeg</c:v>
                </c:pt>
                <c:pt idx="14">
                  <c:v>Ottawa-Hull</c:v>
                </c:pt>
                <c:pt idx="15">
                  <c:v>St. Catharines-Niagara</c:v>
                </c:pt>
                <c:pt idx="16">
                  <c:v>Edmonton</c:v>
                </c:pt>
                <c:pt idx="17">
                  <c:v>Montréal</c:v>
                </c:pt>
                <c:pt idx="18">
                  <c:v>Victoria</c:v>
                </c:pt>
                <c:pt idx="19">
                  <c:v>London</c:v>
                </c:pt>
                <c:pt idx="20">
                  <c:v>Calgary</c:v>
                </c:pt>
                <c:pt idx="21">
                  <c:v>Abbotsford</c:v>
                </c:pt>
                <c:pt idx="22">
                  <c:v>Kitchener</c:v>
                </c:pt>
                <c:pt idx="23">
                  <c:v>Windsor</c:v>
                </c:pt>
                <c:pt idx="24">
                  <c:v>Hamilton</c:v>
                </c:pt>
                <c:pt idx="25">
                  <c:v>Vancouver</c:v>
                </c:pt>
                <c:pt idx="26">
                  <c:v>Toronto</c:v>
                </c:pt>
              </c:strCache>
            </c:strRef>
          </c:cat>
          <c:val>
            <c:numRef>
              <c:f>Sheet1!$B$18:$AB$18</c:f>
              <c:numCache>
                <c:formatCode>General</c:formatCode>
                <c:ptCount val="27"/>
                <c:pt idx="16">
                  <c:v>17.8</c:v>
                </c:pt>
              </c:numCache>
            </c:numRef>
          </c:val>
        </c:ser>
        <c:ser>
          <c:idx val="17"/>
          <c:order val="17"/>
          <c:tx>
            <c:strRef>
              <c:f>Sheet1!$A$19</c:f>
              <c:strCache>
                <c:ptCount val="1"/>
              </c:strCache>
            </c:strRef>
          </c:tx>
          <c:spPr>
            <a:solidFill>
              <a:srgbClr val="CCFFFF"/>
            </a:solidFill>
            <a:ln w="12693">
              <a:solidFill>
                <a:srgbClr val="000000"/>
              </a:solidFill>
              <a:prstDash val="solid"/>
            </a:ln>
          </c:spPr>
          <c:invertIfNegative val="0"/>
          <c:dLbls>
            <c:spPr>
              <a:noFill/>
              <a:ln w="25386">
                <a:noFill/>
              </a:ln>
            </c:spPr>
            <c:txPr>
              <a:bodyPr/>
              <a:lstStyle/>
              <a:p>
                <a:pPr>
                  <a:defRPr sz="9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Sheet1!$B$1:$AB$1</c:f>
              <c:strCache>
                <c:ptCount val="27"/>
                <c:pt idx="0">
                  <c:v>Chicoutimi Jonquière</c:v>
                </c:pt>
                <c:pt idx="1">
                  <c:v>Trois-Rivières</c:v>
                </c:pt>
                <c:pt idx="2">
                  <c:v>St. Johns</c:v>
                </c:pt>
                <c:pt idx="3">
                  <c:v>Québec</c:v>
                </c:pt>
                <c:pt idx="4">
                  <c:v>Saint John</c:v>
                </c:pt>
                <c:pt idx="5">
                  <c:v>Sherbrooke</c:v>
                </c:pt>
                <c:pt idx="6">
                  <c:v>Halifax</c:v>
                </c:pt>
                <c:pt idx="7">
                  <c:v>Greater Sudbury</c:v>
                </c:pt>
                <c:pt idx="8">
                  <c:v>Regina</c:v>
                </c:pt>
                <c:pt idx="9">
                  <c:v>Saskatoon</c:v>
                </c:pt>
                <c:pt idx="10">
                  <c:v>Thunder Bay</c:v>
                </c:pt>
                <c:pt idx="11">
                  <c:v>Kingston</c:v>
                </c:pt>
                <c:pt idx="12">
                  <c:v>Oshawa</c:v>
                </c:pt>
                <c:pt idx="13">
                  <c:v>Winnipeg</c:v>
                </c:pt>
                <c:pt idx="14">
                  <c:v>Ottawa-Hull</c:v>
                </c:pt>
                <c:pt idx="15">
                  <c:v>St. Catharines-Niagara</c:v>
                </c:pt>
                <c:pt idx="16">
                  <c:v>Edmonton</c:v>
                </c:pt>
                <c:pt idx="17">
                  <c:v>Montréal</c:v>
                </c:pt>
                <c:pt idx="18">
                  <c:v>Victoria</c:v>
                </c:pt>
                <c:pt idx="19">
                  <c:v>London</c:v>
                </c:pt>
                <c:pt idx="20">
                  <c:v>Calgary</c:v>
                </c:pt>
                <c:pt idx="21">
                  <c:v>Abbotsford</c:v>
                </c:pt>
                <c:pt idx="22">
                  <c:v>Kitchener</c:v>
                </c:pt>
                <c:pt idx="23">
                  <c:v>Windsor</c:v>
                </c:pt>
                <c:pt idx="24">
                  <c:v>Hamilton</c:v>
                </c:pt>
                <c:pt idx="25">
                  <c:v>Vancouver</c:v>
                </c:pt>
                <c:pt idx="26">
                  <c:v>Toronto</c:v>
                </c:pt>
              </c:strCache>
            </c:strRef>
          </c:cat>
          <c:val>
            <c:numRef>
              <c:f>Sheet1!$B$19:$AB$19</c:f>
              <c:numCache>
                <c:formatCode>General</c:formatCode>
                <c:ptCount val="27"/>
                <c:pt idx="17">
                  <c:v>18.399999999999999</c:v>
                </c:pt>
              </c:numCache>
            </c:numRef>
          </c:val>
        </c:ser>
        <c:ser>
          <c:idx val="18"/>
          <c:order val="18"/>
          <c:tx>
            <c:strRef>
              <c:f>Sheet1!$A$20</c:f>
              <c:strCache>
                <c:ptCount val="1"/>
              </c:strCache>
            </c:strRef>
          </c:tx>
          <c:spPr>
            <a:solidFill>
              <a:srgbClr val="CCFFCC"/>
            </a:solidFill>
            <a:ln w="12693">
              <a:solidFill>
                <a:srgbClr val="000000"/>
              </a:solidFill>
              <a:prstDash val="solid"/>
            </a:ln>
          </c:spPr>
          <c:invertIfNegative val="0"/>
          <c:dLbls>
            <c:dLbl>
              <c:idx val="18"/>
              <c:spPr>
                <a:noFill/>
                <a:ln w="25386">
                  <a:noFill/>
                </a:ln>
              </c:spPr>
              <c:txPr>
                <a:bodyPr/>
                <a:lstStyle/>
                <a:p>
                  <a:pPr>
                    <a:defRPr sz="9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dLbl>
            <c:spPr>
              <a:noFill/>
              <a:ln w="25386">
                <a:noFill/>
              </a:ln>
            </c:spPr>
            <c:txPr>
              <a:bodyPr/>
              <a:lstStyle/>
              <a:p>
                <a:pPr>
                  <a:defRPr sz="999"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Sheet1!$B$1:$AB$1</c:f>
              <c:strCache>
                <c:ptCount val="27"/>
                <c:pt idx="0">
                  <c:v>Chicoutimi Jonquière</c:v>
                </c:pt>
                <c:pt idx="1">
                  <c:v>Trois-Rivières</c:v>
                </c:pt>
                <c:pt idx="2">
                  <c:v>St. Johns</c:v>
                </c:pt>
                <c:pt idx="3">
                  <c:v>Québec</c:v>
                </c:pt>
                <c:pt idx="4">
                  <c:v>Saint John</c:v>
                </c:pt>
                <c:pt idx="5">
                  <c:v>Sherbrooke</c:v>
                </c:pt>
                <c:pt idx="6">
                  <c:v>Halifax</c:v>
                </c:pt>
                <c:pt idx="7">
                  <c:v>Greater Sudbury</c:v>
                </c:pt>
                <c:pt idx="8">
                  <c:v>Regina</c:v>
                </c:pt>
                <c:pt idx="9">
                  <c:v>Saskatoon</c:v>
                </c:pt>
                <c:pt idx="10">
                  <c:v>Thunder Bay</c:v>
                </c:pt>
                <c:pt idx="11">
                  <c:v>Kingston</c:v>
                </c:pt>
                <c:pt idx="12">
                  <c:v>Oshawa</c:v>
                </c:pt>
                <c:pt idx="13">
                  <c:v>Winnipeg</c:v>
                </c:pt>
                <c:pt idx="14">
                  <c:v>Ottawa-Hull</c:v>
                </c:pt>
                <c:pt idx="15">
                  <c:v>St. Catharines-Niagara</c:v>
                </c:pt>
                <c:pt idx="16">
                  <c:v>Edmonton</c:v>
                </c:pt>
                <c:pt idx="17">
                  <c:v>Montréal</c:v>
                </c:pt>
                <c:pt idx="18">
                  <c:v>Victoria</c:v>
                </c:pt>
                <c:pt idx="19">
                  <c:v>London</c:v>
                </c:pt>
                <c:pt idx="20">
                  <c:v>Calgary</c:v>
                </c:pt>
                <c:pt idx="21">
                  <c:v>Abbotsford</c:v>
                </c:pt>
                <c:pt idx="22">
                  <c:v>Kitchener</c:v>
                </c:pt>
                <c:pt idx="23">
                  <c:v>Windsor</c:v>
                </c:pt>
                <c:pt idx="24">
                  <c:v>Hamilton</c:v>
                </c:pt>
                <c:pt idx="25">
                  <c:v>Vancouver</c:v>
                </c:pt>
                <c:pt idx="26">
                  <c:v>Toronto</c:v>
                </c:pt>
              </c:strCache>
            </c:strRef>
          </c:cat>
          <c:val>
            <c:numRef>
              <c:f>Sheet1!$B$20:$AB$20</c:f>
              <c:numCache>
                <c:formatCode>General</c:formatCode>
                <c:ptCount val="27"/>
                <c:pt idx="18">
                  <c:v>18.8</c:v>
                </c:pt>
              </c:numCache>
            </c:numRef>
          </c:val>
        </c:ser>
        <c:ser>
          <c:idx val="19"/>
          <c:order val="19"/>
          <c:tx>
            <c:strRef>
              <c:f>Sheet1!$A$21</c:f>
              <c:strCache>
                <c:ptCount val="1"/>
              </c:strCache>
            </c:strRef>
          </c:tx>
          <c:spPr>
            <a:solidFill>
              <a:srgbClr val="FFFF99"/>
            </a:solidFill>
            <a:ln w="12693">
              <a:solidFill>
                <a:srgbClr val="000000"/>
              </a:solidFill>
              <a:prstDash val="solid"/>
            </a:ln>
          </c:spPr>
          <c:invertIfNegative val="0"/>
          <c:dLbls>
            <c:spPr>
              <a:noFill/>
              <a:ln w="25386">
                <a:noFill/>
              </a:ln>
            </c:spPr>
            <c:txPr>
              <a:bodyPr/>
              <a:lstStyle/>
              <a:p>
                <a:pPr>
                  <a:defRPr sz="9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Sheet1!$B$1:$AB$1</c:f>
              <c:strCache>
                <c:ptCount val="27"/>
                <c:pt idx="0">
                  <c:v>Chicoutimi Jonquière</c:v>
                </c:pt>
                <c:pt idx="1">
                  <c:v>Trois-Rivières</c:v>
                </c:pt>
                <c:pt idx="2">
                  <c:v>St. Johns</c:v>
                </c:pt>
                <c:pt idx="3">
                  <c:v>Québec</c:v>
                </c:pt>
                <c:pt idx="4">
                  <c:v>Saint John</c:v>
                </c:pt>
                <c:pt idx="5">
                  <c:v>Sherbrooke</c:v>
                </c:pt>
                <c:pt idx="6">
                  <c:v>Halifax</c:v>
                </c:pt>
                <c:pt idx="7">
                  <c:v>Greater Sudbury</c:v>
                </c:pt>
                <c:pt idx="8">
                  <c:v>Regina</c:v>
                </c:pt>
                <c:pt idx="9">
                  <c:v>Saskatoon</c:v>
                </c:pt>
                <c:pt idx="10">
                  <c:v>Thunder Bay</c:v>
                </c:pt>
                <c:pt idx="11">
                  <c:v>Kingston</c:v>
                </c:pt>
                <c:pt idx="12">
                  <c:v>Oshawa</c:v>
                </c:pt>
                <c:pt idx="13">
                  <c:v>Winnipeg</c:v>
                </c:pt>
                <c:pt idx="14">
                  <c:v>Ottawa-Hull</c:v>
                </c:pt>
                <c:pt idx="15">
                  <c:v>St. Catharines-Niagara</c:v>
                </c:pt>
                <c:pt idx="16">
                  <c:v>Edmonton</c:v>
                </c:pt>
                <c:pt idx="17">
                  <c:v>Montréal</c:v>
                </c:pt>
                <c:pt idx="18">
                  <c:v>Victoria</c:v>
                </c:pt>
                <c:pt idx="19">
                  <c:v>London</c:v>
                </c:pt>
                <c:pt idx="20">
                  <c:v>Calgary</c:v>
                </c:pt>
                <c:pt idx="21">
                  <c:v>Abbotsford</c:v>
                </c:pt>
                <c:pt idx="22">
                  <c:v>Kitchener</c:v>
                </c:pt>
                <c:pt idx="23">
                  <c:v>Windsor</c:v>
                </c:pt>
                <c:pt idx="24">
                  <c:v>Hamilton</c:v>
                </c:pt>
                <c:pt idx="25">
                  <c:v>Vancouver</c:v>
                </c:pt>
                <c:pt idx="26">
                  <c:v>Toronto</c:v>
                </c:pt>
              </c:strCache>
            </c:strRef>
          </c:cat>
          <c:val>
            <c:numRef>
              <c:f>Sheet1!$B$21:$AB$21</c:f>
              <c:numCache>
                <c:formatCode>General</c:formatCode>
                <c:ptCount val="27"/>
                <c:pt idx="19">
                  <c:v>18.8</c:v>
                </c:pt>
              </c:numCache>
            </c:numRef>
          </c:val>
        </c:ser>
        <c:ser>
          <c:idx val="20"/>
          <c:order val="20"/>
          <c:tx>
            <c:strRef>
              <c:f>Sheet1!$A$22</c:f>
              <c:strCache>
                <c:ptCount val="1"/>
              </c:strCache>
            </c:strRef>
          </c:tx>
          <c:spPr>
            <a:solidFill>
              <a:srgbClr val="99CCFF"/>
            </a:solidFill>
            <a:ln w="12693">
              <a:solidFill>
                <a:srgbClr val="000000"/>
              </a:solidFill>
              <a:prstDash val="solid"/>
            </a:ln>
          </c:spPr>
          <c:invertIfNegative val="0"/>
          <c:dLbls>
            <c:spPr>
              <a:noFill/>
              <a:ln w="25386">
                <a:noFill/>
              </a:ln>
            </c:spPr>
            <c:txPr>
              <a:bodyPr/>
              <a:lstStyle/>
              <a:p>
                <a:pPr>
                  <a:defRPr sz="9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Sheet1!$B$1:$AB$1</c:f>
              <c:strCache>
                <c:ptCount val="27"/>
                <c:pt idx="0">
                  <c:v>Chicoutimi Jonquière</c:v>
                </c:pt>
                <c:pt idx="1">
                  <c:v>Trois-Rivières</c:v>
                </c:pt>
                <c:pt idx="2">
                  <c:v>St. Johns</c:v>
                </c:pt>
                <c:pt idx="3">
                  <c:v>Québec</c:v>
                </c:pt>
                <c:pt idx="4">
                  <c:v>Saint John</c:v>
                </c:pt>
                <c:pt idx="5">
                  <c:v>Sherbrooke</c:v>
                </c:pt>
                <c:pt idx="6">
                  <c:v>Halifax</c:v>
                </c:pt>
                <c:pt idx="7">
                  <c:v>Greater Sudbury</c:v>
                </c:pt>
                <c:pt idx="8">
                  <c:v>Regina</c:v>
                </c:pt>
                <c:pt idx="9">
                  <c:v>Saskatoon</c:v>
                </c:pt>
                <c:pt idx="10">
                  <c:v>Thunder Bay</c:v>
                </c:pt>
                <c:pt idx="11">
                  <c:v>Kingston</c:v>
                </c:pt>
                <c:pt idx="12">
                  <c:v>Oshawa</c:v>
                </c:pt>
                <c:pt idx="13">
                  <c:v>Winnipeg</c:v>
                </c:pt>
                <c:pt idx="14">
                  <c:v>Ottawa-Hull</c:v>
                </c:pt>
                <c:pt idx="15">
                  <c:v>St. Catharines-Niagara</c:v>
                </c:pt>
                <c:pt idx="16">
                  <c:v>Edmonton</c:v>
                </c:pt>
                <c:pt idx="17">
                  <c:v>Montréal</c:v>
                </c:pt>
                <c:pt idx="18">
                  <c:v>Victoria</c:v>
                </c:pt>
                <c:pt idx="19">
                  <c:v>London</c:v>
                </c:pt>
                <c:pt idx="20">
                  <c:v>Calgary</c:v>
                </c:pt>
                <c:pt idx="21">
                  <c:v>Abbotsford</c:v>
                </c:pt>
                <c:pt idx="22">
                  <c:v>Kitchener</c:v>
                </c:pt>
                <c:pt idx="23">
                  <c:v>Windsor</c:v>
                </c:pt>
                <c:pt idx="24">
                  <c:v>Hamilton</c:v>
                </c:pt>
                <c:pt idx="25">
                  <c:v>Vancouver</c:v>
                </c:pt>
                <c:pt idx="26">
                  <c:v>Toronto</c:v>
                </c:pt>
              </c:strCache>
            </c:strRef>
          </c:cat>
          <c:val>
            <c:numRef>
              <c:f>Sheet1!$B$22:$AB$22</c:f>
              <c:numCache>
                <c:formatCode>General</c:formatCode>
                <c:ptCount val="27"/>
                <c:pt idx="20">
                  <c:v>20.9</c:v>
                </c:pt>
              </c:numCache>
            </c:numRef>
          </c:val>
        </c:ser>
        <c:ser>
          <c:idx val="21"/>
          <c:order val="21"/>
          <c:tx>
            <c:strRef>
              <c:f>Sheet1!$A$23</c:f>
              <c:strCache>
                <c:ptCount val="1"/>
              </c:strCache>
            </c:strRef>
          </c:tx>
          <c:spPr>
            <a:solidFill>
              <a:srgbClr val="FF99CC"/>
            </a:solidFill>
            <a:ln w="12693">
              <a:solidFill>
                <a:srgbClr val="000000"/>
              </a:solidFill>
              <a:prstDash val="solid"/>
            </a:ln>
          </c:spPr>
          <c:invertIfNegative val="0"/>
          <c:dLbls>
            <c:dLbl>
              <c:idx val="21"/>
              <c:spPr>
                <a:noFill/>
                <a:ln w="25386">
                  <a:noFill/>
                </a:ln>
              </c:spPr>
              <c:txPr>
                <a:bodyPr/>
                <a:lstStyle/>
                <a:p>
                  <a:pPr>
                    <a:defRPr sz="9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dLbl>
            <c:spPr>
              <a:noFill/>
              <a:ln w="25386">
                <a:noFill/>
              </a:ln>
            </c:spPr>
            <c:txPr>
              <a:bodyPr/>
              <a:lstStyle/>
              <a:p>
                <a:pPr>
                  <a:defRPr sz="999"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Sheet1!$B$1:$AB$1</c:f>
              <c:strCache>
                <c:ptCount val="27"/>
                <c:pt idx="0">
                  <c:v>Chicoutimi Jonquière</c:v>
                </c:pt>
                <c:pt idx="1">
                  <c:v>Trois-Rivières</c:v>
                </c:pt>
                <c:pt idx="2">
                  <c:v>St. Johns</c:v>
                </c:pt>
                <c:pt idx="3">
                  <c:v>Québec</c:v>
                </c:pt>
                <c:pt idx="4">
                  <c:v>Saint John</c:v>
                </c:pt>
                <c:pt idx="5">
                  <c:v>Sherbrooke</c:v>
                </c:pt>
                <c:pt idx="6">
                  <c:v>Halifax</c:v>
                </c:pt>
                <c:pt idx="7">
                  <c:v>Greater Sudbury</c:v>
                </c:pt>
                <c:pt idx="8">
                  <c:v>Regina</c:v>
                </c:pt>
                <c:pt idx="9">
                  <c:v>Saskatoon</c:v>
                </c:pt>
                <c:pt idx="10">
                  <c:v>Thunder Bay</c:v>
                </c:pt>
                <c:pt idx="11">
                  <c:v>Kingston</c:v>
                </c:pt>
                <c:pt idx="12">
                  <c:v>Oshawa</c:v>
                </c:pt>
                <c:pt idx="13">
                  <c:v>Winnipeg</c:v>
                </c:pt>
                <c:pt idx="14">
                  <c:v>Ottawa-Hull</c:v>
                </c:pt>
                <c:pt idx="15">
                  <c:v>St. Catharines-Niagara</c:v>
                </c:pt>
                <c:pt idx="16">
                  <c:v>Edmonton</c:v>
                </c:pt>
                <c:pt idx="17">
                  <c:v>Montréal</c:v>
                </c:pt>
                <c:pt idx="18">
                  <c:v>Victoria</c:v>
                </c:pt>
                <c:pt idx="19">
                  <c:v>London</c:v>
                </c:pt>
                <c:pt idx="20">
                  <c:v>Calgary</c:v>
                </c:pt>
                <c:pt idx="21">
                  <c:v>Abbotsford</c:v>
                </c:pt>
                <c:pt idx="22">
                  <c:v>Kitchener</c:v>
                </c:pt>
                <c:pt idx="23">
                  <c:v>Windsor</c:v>
                </c:pt>
                <c:pt idx="24">
                  <c:v>Hamilton</c:v>
                </c:pt>
                <c:pt idx="25">
                  <c:v>Vancouver</c:v>
                </c:pt>
                <c:pt idx="26">
                  <c:v>Toronto</c:v>
                </c:pt>
              </c:strCache>
            </c:strRef>
          </c:cat>
          <c:val>
            <c:numRef>
              <c:f>Sheet1!$B$23:$AB$23</c:f>
              <c:numCache>
                <c:formatCode>General</c:formatCode>
                <c:ptCount val="27"/>
                <c:pt idx="21">
                  <c:v>21.8</c:v>
                </c:pt>
              </c:numCache>
            </c:numRef>
          </c:val>
        </c:ser>
        <c:dLbls>
          <c:showLegendKey val="0"/>
          <c:showVal val="1"/>
          <c:showCatName val="0"/>
          <c:showSerName val="0"/>
          <c:showPercent val="0"/>
          <c:showBubbleSize val="0"/>
        </c:dLbls>
        <c:gapWidth val="150"/>
        <c:overlap val="100"/>
        <c:axId val="44108416"/>
        <c:axId val="44135168"/>
      </c:barChart>
      <c:catAx>
        <c:axId val="44108416"/>
        <c:scaling>
          <c:orientation val="minMax"/>
        </c:scaling>
        <c:delete val="0"/>
        <c:axPos val="l"/>
        <c:title>
          <c:tx>
            <c:rich>
              <a:bodyPr rot="0" vert="horz"/>
              <a:lstStyle/>
              <a:p>
                <a:pPr algn="ctr">
                  <a:defRPr sz="999" b="1" i="0" u="none" strike="noStrike" baseline="0">
                    <a:solidFill>
                      <a:srgbClr val="000000"/>
                    </a:solidFill>
                    <a:latin typeface="Calibri"/>
                    <a:ea typeface="Calibri"/>
                    <a:cs typeface="Calibri"/>
                  </a:defRPr>
                </a:pPr>
                <a:r>
                  <a:t>Canada 18.3%</a:t>
                </a:r>
              </a:p>
            </c:rich>
          </c:tx>
          <c:layout>
            <c:manualLayout>
              <c:xMode val="edge"/>
              <c:yMode val="edge"/>
              <c:x val="0.71285892634207249"/>
              <c:y val="0.41361256544502617"/>
            </c:manualLayout>
          </c:layout>
          <c:overlay val="0"/>
          <c:spPr>
            <a:noFill/>
            <a:ln w="25386">
              <a:noFill/>
            </a:ln>
          </c:spPr>
        </c:title>
        <c:numFmt formatCode="General" sourceLinked="1"/>
        <c:majorTickMark val="out"/>
        <c:minorTickMark val="none"/>
        <c:tickLblPos val="nextTo"/>
        <c:spPr>
          <a:ln w="3173">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en-US"/>
          </a:p>
        </c:txPr>
        <c:crossAx val="44135168"/>
        <c:crosses val="autoZero"/>
        <c:auto val="1"/>
        <c:lblAlgn val="ctr"/>
        <c:lblOffset val="100"/>
        <c:tickLblSkip val="2"/>
        <c:tickMarkSkip val="1"/>
        <c:noMultiLvlLbl val="0"/>
      </c:catAx>
      <c:valAx>
        <c:axId val="44135168"/>
        <c:scaling>
          <c:orientation val="minMax"/>
          <c:max val="50"/>
        </c:scaling>
        <c:delete val="0"/>
        <c:axPos val="b"/>
        <c:title>
          <c:tx>
            <c:rich>
              <a:bodyPr/>
              <a:lstStyle/>
              <a:p>
                <a:pPr>
                  <a:defRPr sz="900" b="1" i="0" u="none" strike="noStrike" baseline="0">
                    <a:solidFill>
                      <a:srgbClr val="000000"/>
                    </a:solidFill>
                    <a:latin typeface="Calibri"/>
                    <a:ea typeface="Calibri"/>
                    <a:cs typeface="Calibri"/>
                  </a:defRPr>
                </a:pPr>
                <a:r>
                  <a:t>%</a:t>
                </a:r>
              </a:p>
            </c:rich>
          </c:tx>
          <c:layout>
            <c:manualLayout>
              <c:xMode val="edge"/>
              <c:yMode val="edge"/>
              <c:x val="0.16104868913857678"/>
              <c:y val="0.88350785340314142"/>
            </c:manualLayout>
          </c:layout>
          <c:overlay val="0"/>
          <c:spPr>
            <a:noFill/>
            <a:ln w="25386">
              <a:noFill/>
            </a:ln>
          </c:spPr>
        </c:title>
        <c:numFmt formatCode="General" sourceLinked="1"/>
        <c:majorTickMark val="out"/>
        <c:minorTickMark val="none"/>
        <c:tickLblPos val="nextTo"/>
        <c:spPr>
          <a:ln w="3173">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en-US"/>
          </a:p>
        </c:txPr>
        <c:crossAx val="44108416"/>
        <c:crosses val="autoZero"/>
        <c:crossBetween val="between"/>
      </c:valAx>
      <c:spPr>
        <a:solidFill>
          <a:srgbClr val="C0C0C0"/>
        </a:solidFill>
        <a:ln w="12693">
          <a:solidFill>
            <a:srgbClr val="808080"/>
          </a:solidFill>
          <a:prstDash val="solid"/>
        </a:ln>
      </c:spPr>
    </c:plotArea>
    <c:plotVisOnly val="1"/>
    <c:dispBlanksAs val="gap"/>
    <c:showDLblsOverMax val="0"/>
  </c:chart>
  <c:spPr>
    <a:noFill/>
    <a:ln>
      <a:noFill/>
    </a:ln>
  </c:spPr>
  <c:txPr>
    <a:bodyPr/>
    <a:lstStyle/>
    <a:p>
      <a:pPr>
        <a:defRPr sz="999"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6DE1D-E2E5-4C77-A73E-4459F8B78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6192</CharactersWithSpaces>
  <SharedDoc>false</SharedDoc>
  <HLinks>
    <vt:vector size="48" baseType="variant">
      <vt:variant>
        <vt:i4>7864446</vt:i4>
      </vt:variant>
      <vt:variant>
        <vt:i4>33</vt:i4>
      </vt:variant>
      <vt:variant>
        <vt:i4>0</vt:i4>
      </vt:variant>
      <vt:variant>
        <vt:i4>5</vt:i4>
      </vt:variant>
      <vt:variant>
        <vt:lpwstr>http://www.statcan.ca/</vt:lpwstr>
      </vt:variant>
      <vt:variant>
        <vt:lpwstr/>
      </vt:variant>
      <vt:variant>
        <vt:i4>3801140</vt:i4>
      </vt:variant>
      <vt:variant>
        <vt:i4>30</vt:i4>
      </vt:variant>
      <vt:variant>
        <vt:i4>0</vt:i4>
      </vt:variant>
      <vt:variant>
        <vt:i4>5</vt:i4>
      </vt:variant>
      <vt:variant>
        <vt:lpwstr>http://www12.statcan.ca/english/census01/teacher%27s_kit/teacher%27s_guide.cfm</vt:lpwstr>
      </vt:variant>
      <vt:variant>
        <vt:lpwstr/>
      </vt:variant>
      <vt:variant>
        <vt:i4>4718679</vt:i4>
      </vt:variant>
      <vt:variant>
        <vt:i4>27</vt:i4>
      </vt:variant>
      <vt:variant>
        <vt:i4>0</vt:i4>
      </vt:variant>
      <vt:variant>
        <vt:i4>5</vt:i4>
      </vt:variant>
      <vt:variant>
        <vt:lpwstr>http://www12.statcan.ca/english/census01/teacher%27s_kit/activity10_chart4.cfm</vt:lpwstr>
      </vt:variant>
      <vt:variant>
        <vt:lpwstr/>
      </vt:variant>
      <vt:variant>
        <vt:i4>5177431</vt:i4>
      </vt:variant>
      <vt:variant>
        <vt:i4>21</vt:i4>
      </vt:variant>
      <vt:variant>
        <vt:i4>0</vt:i4>
      </vt:variant>
      <vt:variant>
        <vt:i4>5</vt:i4>
      </vt:variant>
      <vt:variant>
        <vt:lpwstr>http://www12.statcan.ca/english/census01/teacher%27s_kit/activity10_chart3.cfm</vt:lpwstr>
      </vt:variant>
      <vt:variant>
        <vt:lpwstr/>
      </vt:variant>
      <vt:variant>
        <vt:i4>5111895</vt:i4>
      </vt:variant>
      <vt:variant>
        <vt:i4>15</vt:i4>
      </vt:variant>
      <vt:variant>
        <vt:i4>0</vt:i4>
      </vt:variant>
      <vt:variant>
        <vt:i4>5</vt:i4>
      </vt:variant>
      <vt:variant>
        <vt:lpwstr>http://www12.statcan.ca/english/census01/teacher%27s_kit/activity10_chart2.cfm</vt:lpwstr>
      </vt:variant>
      <vt:variant>
        <vt:lpwstr/>
      </vt:variant>
      <vt:variant>
        <vt:i4>5832786</vt:i4>
      </vt:variant>
      <vt:variant>
        <vt:i4>9</vt:i4>
      </vt:variant>
      <vt:variant>
        <vt:i4>0</vt:i4>
      </vt:variant>
      <vt:variant>
        <vt:i4>5</vt:i4>
      </vt:variant>
      <vt:variant>
        <vt:lpwstr>http://www12.statcan.ca/english/census01/teacher%27s_kit/activity10_table2.cfm</vt:lpwstr>
      </vt:variant>
      <vt:variant>
        <vt:lpwstr/>
      </vt:variant>
      <vt:variant>
        <vt:i4>4259863</vt:i4>
      </vt:variant>
      <vt:variant>
        <vt:i4>6</vt:i4>
      </vt:variant>
      <vt:variant>
        <vt:i4>0</vt:i4>
      </vt:variant>
      <vt:variant>
        <vt:i4>5</vt:i4>
      </vt:variant>
      <vt:variant>
        <vt:lpwstr>http://www12.statcan.ca/english/census01/teacher%27s_kit/activity10_map.cfm</vt:lpwstr>
      </vt:variant>
      <vt:variant>
        <vt:lpwstr/>
      </vt:variant>
      <vt:variant>
        <vt:i4>5046359</vt:i4>
      </vt:variant>
      <vt:variant>
        <vt:i4>3</vt:i4>
      </vt:variant>
      <vt:variant>
        <vt:i4>0</vt:i4>
      </vt:variant>
      <vt:variant>
        <vt:i4>5</vt:i4>
      </vt:variant>
      <vt:variant>
        <vt:lpwstr>http://www12.statcan.ca/english/census01/teacher%27s_kit/activity10_chart1.cfm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vonLoewenstein</dc:creator>
  <cp:lastModifiedBy>Donna Klemmer</cp:lastModifiedBy>
  <cp:revision>2</cp:revision>
  <cp:lastPrinted>2010-05-03T22:42:00Z</cp:lastPrinted>
  <dcterms:created xsi:type="dcterms:W3CDTF">2017-11-15T19:13:00Z</dcterms:created>
  <dcterms:modified xsi:type="dcterms:W3CDTF">2017-11-15T19:13:00Z</dcterms:modified>
</cp:coreProperties>
</file>