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99997" w:type="dxa"/>
      </w:tblPr>
      <w:tblGrid/>
      <w:tr>
        <w:trPr>
          <w:trHeight w:val="832" w:hRule="exact"/>
        </w:trPr>
        <w:tc>
          <w:tcPr>
            <w:tcW w:w="1367" w:type="dxa"/>
            <w:tcBorders>
              <w:top w:val="single" w:sz="5.6" w:space="0" w:color="000000"/>
              <w:bottom w:val="single" w:sz="13.2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7" w:after="0" w:line="240" w:lineRule="auto"/>
              <w:ind w:left="9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Critères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63" w:lineRule="exact"/>
              <w:ind w:left="9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b/>
                <w:bCs/>
              </w:rPr>
              <w:t>15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points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3662" w:type="dxa"/>
            <w:tcBorders>
              <w:top w:val="single" w:sz="5.6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auto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b/>
                <w:bCs/>
              </w:rPr>
              <w:t>Traitement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b/>
                <w:bCs/>
              </w:rPr>
              <w:t>du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sujet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64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b/>
                <w:bCs/>
              </w:rPr>
              <w:t>10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points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single" w:sz="5.6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auto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b/>
                <w:bCs/>
              </w:rPr>
              <w:t>Habileté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b/>
                <w:bCs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écrire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64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points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2450" w:hRule="exact"/>
        </w:trPr>
        <w:tc>
          <w:tcPr>
            <w:tcW w:w="1367" w:type="dxa"/>
            <w:tcBorders>
              <w:top w:val="single" w:sz="13.28" w:space="0" w:color="000000"/>
              <w:bottom w:val="single" w:sz="5.6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9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Excellent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2" w:right="56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3662" w:type="dxa"/>
            <w:tcBorders>
              <w:top w:val="single" w:sz="12.32" w:space="0" w:color="000000"/>
              <w:bottom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2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L’exploration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montre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4" w:after="0" w:line="240" w:lineRule="auto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discernement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maturité.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4" w:after="0" w:line="243" w:lineRule="auto"/>
              <w:ind w:left="99" w:right="8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discussion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réfléchie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sens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complexité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développée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avec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amplitude.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établi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révèle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une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compréhension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assimilation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approfondies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l’étude.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single" w:sz="12.32" w:space="0" w:color="000000"/>
              <w:bottom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2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coule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bien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bien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organisé.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contenu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ordonné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4" w:after="0" w:line="243" w:lineRule="auto"/>
              <w:ind w:left="99" w:right="10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façon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renforcer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façon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convaincante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l’argument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arguments.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vocabulaire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approprié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efficace.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1"/>
              </w:rPr>
              <w:t>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y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taxe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correcte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variée.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L’absence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relative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d’erreurs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impressionnante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circonstances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petites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erreurs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nuisent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clarté,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précision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communication.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1908" w:hRule="exact"/>
        </w:trPr>
        <w:tc>
          <w:tcPr>
            <w:tcW w:w="1367" w:type="dxa"/>
            <w:tcBorders>
              <w:top w:val="single" w:sz="5.6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8" w:after="0" w:line="240" w:lineRule="auto"/>
              <w:ind w:left="53" w:right="9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Compétent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2" w:right="56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3662" w:type="dxa"/>
            <w:tcBorders>
              <w:top w:val="single" w:sz="5.6" w:space="0" w:color="000000"/>
              <w:bottom w:val="single" w:sz="6.1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3" w:lineRule="auto"/>
              <w:ind w:left="99" w:right="263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L’exploration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claire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habile.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discussion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du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sens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complexité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faite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façon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compétente.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établi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révèle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compréhension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juste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l’étude.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single" w:sz="5.6" w:space="0" w:color="000000"/>
              <w:bottom w:val="single" w:sz="6.1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3" w:lineRule="auto"/>
              <w:ind w:left="99" w:right="15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clair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coule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généralement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bien.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contenu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ordonné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sorte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l’argument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arguments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so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1"/>
              </w:rPr>
              <w:t>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clairement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perceptibles.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vocabulaire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approprié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précis.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syntaxe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correcte.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petites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erreurs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nuisent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pas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clarté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communication.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2179" w:hRule="exact"/>
        </w:trPr>
        <w:tc>
          <w:tcPr>
            <w:tcW w:w="1367" w:type="dxa"/>
            <w:tcBorders>
              <w:top w:val="single" w:sz="12.32" w:space="0" w:color="000000"/>
              <w:bottom w:val="single" w:sz="13.2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3" w:right="4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Satisfaisant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2" w:right="56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3662" w:type="dxa"/>
            <w:tcBorders>
              <w:top w:val="single" w:sz="6.16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3" w:lineRule="auto"/>
              <w:ind w:left="99" w:right="283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L’exploration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directe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conventionnelle.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discussion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sens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complexité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faite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façon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adéquate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mais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souvent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générale.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établi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révèle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compréhension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généralement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claire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l’étude.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single" w:sz="6.16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3" w:lineRule="auto"/>
              <w:ind w:left="99" w:right="192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clair.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contenu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ordonné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sorte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que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l’argument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arguments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sont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généralement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identifiables.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vocabulaire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adéquat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mais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tendance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être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plus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g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7"/>
                <w:w w:val="101"/>
              </w:rPr>
              <w:t>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néral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précis.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6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ntaxe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généralement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simple.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Malgré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petites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erreurs,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l’élève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montre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qu’il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maîtrise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règles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d’us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1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ge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langue.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2446" w:hRule="exact"/>
        </w:trPr>
        <w:tc>
          <w:tcPr>
            <w:tcW w:w="1367" w:type="dxa"/>
            <w:tcBorders>
              <w:top w:val="single" w:sz="13.28" w:space="0" w:color="000000"/>
              <w:bottom w:val="single" w:sz="13.2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9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Limité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2" w:right="56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3662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L’exploration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4" w:after="0" w:line="243" w:lineRule="auto"/>
              <w:ind w:left="99" w:right="8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incomplète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manque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profondeur.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discussion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sens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complexité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superficielle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n’est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pas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assez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élaborée.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établi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parfois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difficile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discerner,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révélant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compréhension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vague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confuse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l’étude.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peut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manquer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clarté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répond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pas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aux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4" w:after="0" w:line="243" w:lineRule="auto"/>
              <w:ind w:left="99" w:right="93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exigences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tâche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assignée.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contenu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ordonné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sorte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l’argument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arguments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sont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contradictoires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répétitifs.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vocabulaire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inapproprié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et/ou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imprécis.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syntaxe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maladroite.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erreurs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révèlent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mauvaise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maîtrise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règles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d’usage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langue.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2717" w:hRule="exact"/>
        </w:trPr>
        <w:tc>
          <w:tcPr>
            <w:tcW w:w="1367" w:type="dxa"/>
            <w:tcBorders>
              <w:top w:val="single" w:sz="13.28" w:space="0" w:color="000000"/>
              <w:bottom w:val="single" w:sz="13.2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91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Faible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2" w:right="56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3662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L’exploration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4" w:after="0" w:line="243" w:lineRule="auto"/>
              <w:ind w:left="99" w:right="22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minimale.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discussion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sens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complexité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incohérente,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inexacte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vague.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établi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difficile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ou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impossible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déterminer,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révélant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compréhension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minimale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question.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préambule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dissertation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été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copié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sans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être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développé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davantage.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0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texte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manque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souvent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clarté.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-5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ontenu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mal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organisé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4" w:after="0" w:line="243" w:lineRule="auto"/>
              <w:ind w:left="99" w:right="14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laisse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douter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l’intention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l’élève.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vocabulaire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imprécis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parfois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inexact.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syntaxe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incorrecte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crée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de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confusion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pour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lecteur.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erreurs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nuisent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la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</w:rPr>
              <w:t>communication.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</w:tr>
      <w:tr>
        <w:trPr>
          <w:trHeight w:val="1999" w:hRule="exact"/>
        </w:trPr>
        <w:tc>
          <w:tcPr>
            <w:tcW w:w="1367" w:type="dxa"/>
            <w:tcBorders>
              <w:top w:val="single" w:sz="13.28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53" w:right="12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Insuffisant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2" w:right="56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1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3662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36" w:lineRule="exact"/>
              <w:ind w:left="99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Insuffisant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une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catégorie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sp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5"/>
                <w:w w:val="102"/>
              </w:rPr>
              <w:t>é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ciale.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13" w:after="0" w:line="242" w:lineRule="auto"/>
              <w:ind w:left="99" w:right="9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Ce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n’est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pas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un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in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6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icateur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  <w:b/>
                <w:bCs/>
              </w:rPr>
              <w:t>qu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5"/>
                <w:w w:val="102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  <w:b/>
                <w:bCs/>
              </w:rPr>
              <w:t>lité.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l’attribue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aux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extes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qui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ne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contiennent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pas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tentative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visible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de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traiter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sujet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à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l’étude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aux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4"/>
                <w:w w:val="102"/>
              </w:rPr>
              <w:t>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xtes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qui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sont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trop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cour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pour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que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l’on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  <w:p>
            <w:pPr>
              <w:spacing w:before="3" w:after="0" w:line="243" w:lineRule="auto"/>
              <w:ind w:left="99" w:right="67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puisse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évaluer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dans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quelque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catégorie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notation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que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2"/>
              </w:rPr>
              <w:t>soit.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FDFDF"/>
          </w:tcPr>
          <w:p>
            <w:pPr/>
            <w:rPr/>
          </w:p>
        </w:tc>
      </w:tr>
    </w:tbl>
    <w:sectPr>
      <w:type w:val="continuous"/>
      <w:pgSz w:w="11920" w:h="16840"/>
      <w:pgMar w:top="760" w:bottom="28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dc:title>Critères </dc:title>
  <dcterms:created xsi:type="dcterms:W3CDTF">2015-01-30T10:58:59Z</dcterms:created>
  <dcterms:modified xsi:type="dcterms:W3CDTF">2015-01-30T10:58:59Z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2010-08-22T00:00:00Z</vt:filetime>
  </property>
  <property fmtid="{D5CDD505-2E9C-101B-9397-08002B2CF9AE}" pid="3" name="LastSaved">
    <vt:filetime>2015-01-30T00:00:00Z</vt:filetime>
  </property>
</Properties>
</file>