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C014D">
        <w:rPr>
          <w:rFonts w:ascii="MyriadPro-Regular" w:hAnsi="MyriadPro-Regular" w:cs="MyriadPro-Regular"/>
          <w:color w:val="FF0000"/>
          <w:sz w:val="90"/>
          <w:szCs w:val="90"/>
        </w:rPr>
        <w:t>7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33020</wp:posOffset>
                </wp:positionV>
                <wp:extent cx="6089650" cy="10572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05727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845859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How Does </w:t>
                            </w:r>
                            <w:r w:rsidRPr="0084585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the Right to Freedom of Expression Conflict with our Responsibility to Consider the Rights of Others?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6pt;width:47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" fillcolor="#558ed5" strokecolor="#548dd4 [1951]" strokeweight="2pt">
                <v:textbox>
                  <w:txbxContent>
                    <w:p w:rsidR="002F1296" w:rsidRDefault="00845859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How Does </w:t>
                      </w:r>
                      <w:r w:rsidRPr="0084585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the Right to Freedom of Expression Conflict with our Responsibility to Consider the Rights of Others?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2E3FDB">
        <w:rPr>
          <w:rFonts w:ascii="Arial" w:eastAsia="Arial" w:hAnsi="Arial" w:cs="Arial"/>
          <w:b/>
          <w:bCs/>
          <w:color w:val="896BA8"/>
          <w:sz w:val="23"/>
          <w:szCs w:val="23"/>
        </w:rPr>
        <w:t>this question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845859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>How does the right to freedom of expression conflict with our responsibility to consider the rights of others</w:t>
      </w:r>
      <w:r w:rsidR="009F0735" w:rsidRPr="009F0735">
        <w:rPr>
          <w:rFonts w:ascii="HelveticaNeueLT Std" w:eastAsia="Arial" w:hAnsi="HelveticaNeueLT Std" w:cs="Arial"/>
          <w:color w:val="000000"/>
          <w:sz w:val="24"/>
          <w:szCs w:val="24"/>
        </w:rPr>
        <w:t>?</w:t>
      </w:r>
      <w:r w:rsidR="00614AF7"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0272DD">
      <w:pPr>
        <w:tabs>
          <w:tab w:val="left" w:pos="6240"/>
          <w:tab w:val="left" w:pos="7760"/>
        </w:tabs>
        <w:spacing w:after="0" w:line="635" w:lineRule="exact"/>
        <w:ind w:left="1917" w:right="-20" w:firstLine="243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0272DD" w:rsidRDefault="00362E3B" w:rsidP="000272D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="000272DD">
        <w:rPr>
          <w:rFonts w:ascii="Arial" w:eastAsia="Arial" w:hAnsi="Arial" w:cs="Arial"/>
          <w:sz w:val="23"/>
          <w:szCs w:val="23"/>
        </w:rPr>
        <w:tab/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845859">
        <w:rPr>
          <w:rFonts w:ascii="HelveticaNeueLT Std" w:eastAsia="Arial" w:hAnsi="HelveticaNeueLT Std" w:cs="Arial"/>
          <w:sz w:val="24"/>
          <w:szCs w:val="24"/>
        </w:rPr>
        <w:t>162 to 163</w:t>
      </w:r>
    </w:p>
    <w:p w:rsidR="00362E3B" w:rsidRDefault="00362E3B" w:rsidP="000272DD">
      <w:pPr>
        <w:tabs>
          <w:tab w:val="left" w:pos="360"/>
        </w:tabs>
        <w:spacing w:after="0" w:line="235" w:lineRule="exact"/>
        <w:ind w:left="216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You can also </w:t>
      </w:r>
      <w:r w:rsidR="00845859">
        <w:rPr>
          <w:rFonts w:ascii="HelveticaNeueLT Std" w:eastAsia="Arial" w:hAnsi="HelveticaNeueLT Std" w:cs="Arial"/>
          <w:sz w:val="24"/>
          <w:szCs w:val="24"/>
        </w:rPr>
        <w:t>search for online resources.</w:t>
      </w:r>
    </w:p>
    <w:p w:rsidR="009F0735" w:rsidRDefault="009F0735" w:rsidP="00CC014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</w:t>
      </w:r>
    </w:p>
    <w:p w:rsidR="00CC014D" w:rsidRDefault="00CC014D" w:rsidP="00CC014D">
      <w:pPr>
        <w:pStyle w:val="NoSpacing"/>
      </w:pPr>
    </w:p>
    <w:p w:rsidR="00CC014D" w:rsidRDefault="00CC014D" w:rsidP="00CC014D">
      <w:pPr>
        <w:pStyle w:val="NoSpacing"/>
      </w:pP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Choose </w:t>
      </w:r>
      <w:r w:rsidRPr="00845859">
        <w:rPr>
          <w:rFonts w:ascii="MyriadPro-Regular" w:hAnsi="MyriadPro-Regular" w:cs="MyriadPro-Regular"/>
          <w:b/>
          <w:color w:val="000000" w:themeColor="text1"/>
          <w:sz w:val="24"/>
          <w:szCs w:val="24"/>
        </w:rPr>
        <w:t>one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of the following situations to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examine the topic of freedom of expression.  </w:t>
      </w:r>
    </w:p>
    <w:p w:rsidR="00845859" w:rsidRP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 problem occurs on the playground when one student insults another student's hat. The student who made the comment is later arrested because someone nearby was offended. </w:t>
      </w:r>
      <w:r w:rsidR="002B5A7C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Has this student's freedom of expression been unjustifiably limited?</w:t>
      </w: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 toy company wants to air television advertisements aimed at children. </w:t>
      </w:r>
      <w:r w:rsidR="002B5A7C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The province does not allow commercial advertising aimed at children </w:t>
      </w:r>
      <w:proofErr w:type="gramStart"/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under</w:t>
      </w:r>
      <w:proofErr w:type="gramEnd"/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13.</w:t>
      </w:r>
      <w:r w:rsidR="002B5A7C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Does this law unjustifiably limit freedom of expression? </w:t>
      </w: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The Gazette, the school-sponsored newspaper of Campbell Elementary, is written and edited by students. </w:t>
      </w:r>
      <w:r w:rsidR="002B5A7C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The school principal has found two of the articles in the issue to be inappropriate, and ordered that the pages on which the articles appeared be withheld from publication. </w:t>
      </w:r>
      <w:r w:rsidR="002B5A7C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Has the principal placed unjustifiable limits on the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freedom of expression?</w:t>
      </w:r>
    </w:p>
    <w:p w:rsidR="00845859" w:rsidRP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845859" w:rsidRP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Ask several people (family, friends, and neighbours) for their opinions on this topic.</w:t>
      </w:r>
    </w:p>
    <w:p w:rsidR="00845859" w:rsidRP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45859" w:rsidRPr="00845859" w:rsidRDefault="00845859" w:rsidP="00845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Use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the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chart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below </w:t>
      </w: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to record their opinions. This step is important because opinions on this issue vary greatly.</w:t>
      </w:r>
    </w:p>
    <w:p w:rsidR="00845859" w:rsidRPr="00845859" w:rsidRDefault="00845859" w:rsidP="00845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Add your own opinions and ideas to the chart.</w:t>
      </w:r>
    </w:p>
    <w:p w:rsidR="00845859" w:rsidRPr="00845859" w:rsidRDefault="00845859" w:rsidP="00845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Be sure to consider whether any limits on freedoms of expression should be imposed, and if so, under what circumstances.</w:t>
      </w:r>
    </w:p>
    <w:p w:rsidR="00845859" w:rsidRDefault="00845859" w:rsidP="00845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45859">
        <w:rPr>
          <w:rFonts w:ascii="MyriadPro-Regular" w:hAnsi="MyriadPro-Regular" w:cs="MyriadPro-Regular"/>
          <w:color w:val="000000" w:themeColor="text1"/>
          <w:sz w:val="24"/>
          <w:szCs w:val="24"/>
        </w:rPr>
        <w:t>What is your opinion? Why? Add this to the chart.</w:t>
      </w:r>
    </w:p>
    <w:p w:rsidR="00845859" w:rsidRPr="00845859" w:rsidRDefault="00845859" w:rsidP="0084585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5859" w:rsidTr="00845859">
        <w:tc>
          <w:tcPr>
            <w:tcW w:w="9576" w:type="dxa"/>
            <w:shd w:val="clear" w:color="auto" w:fill="00B050"/>
          </w:tcPr>
          <w:p w:rsidR="00845859" w:rsidRP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</w:pPr>
            <w:r w:rsidRPr="00845859"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  <w:t xml:space="preserve">Reasons for Saying </w:t>
            </w:r>
            <w:r w:rsidRPr="00845859">
              <w:rPr>
                <w:rFonts w:ascii="MyriadPro-Regular" w:hAnsi="MyriadPro-Regular" w:cs="MyriadPro-Regular"/>
                <w:b/>
                <w:i/>
                <w:color w:val="FFFFFF" w:themeColor="background1"/>
                <w:sz w:val="31"/>
                <w:szCs w:val="31"/>
              </w:rPr>
              <w:t>Yes</w:t>
            </w:r>
          </w:p>
        </w:tc>
      </w:tr>
      <w:tr w:rsidR="00845859" w:rsidTr="00845859">
        <w:tc>
          <w:tcPr>
            <w:tcW w:w="9576" w:type="dxa"/>
            <w:shd w:val="clear" w:color="auto" w:fill="EEECE1" w:themeFill="background2"/>
          </w:tcPr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</w:tc>
      </w:tr>
      <w:tr w:rsidR="00845859" w:rsidTr="00845859">
        <w:tc>
          <w:tcPr>
            <w:tcW w:w="9576" w:type="dxa"/>
            <w:shd w:val="clear" w:color="auto" w:fill="00B050"/>
          </w:tcPr>
          <w:p w:rsidR="00845859" w:rsidRP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</w:pPr>
            <w:r w:rsidRPr="00845859"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  <w:t xml:space="preserve">Reasons for Saying </w:t>
            </w:r>
            <w:r w:rsidRPr="00845859">
              <w:rPr>
                <w:rFonts w:ascii="MyriadPro-Regular" w:hAnsi="MyriadPro-Regular" w:cs="MyriadPro-Regular"/>
                <w:b/>
                <w:i/>
                <w:color w:val="FFFFFF" w:themeColor="background1"/>
                <w:sz w:val="31"/>
                <w:szCs w:val="31"/>
              </w:rPr>
              <w:t>No</w:t>
            </w:r>
          </w:p>
        </w:tc>
      </w:tr>
      <w:tr w:rsidR="00845859" w:rsidTr="00845859">
        <w:tc>
          <w:tcPr>
            <w:tcW w:w="9576" w:type="dxa"/>
            <w:shd w:val="clear" w:color="auto" w:fill="EEECE1" w:themeFill="background2"/>
          </w:tcPr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</w:tc>
      </w:tr>
      <w:tr w:rsidR="00845859" w:rsidTr="00845859">
        <w:tc>
          <w:tcPr>
            <w:tcW w:w="9576" w:type="dxa"/>
            <w:shd w:val="clear" w:color="auto" w:fill="00B050"/>
          </w:tcPr>
          <w:p w:rsidR="00845859" w:rsidRP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</w:pPr>
            <w:r w:rsidRPr="00845859"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  <w:t>Under what circumstances is freedom of expression limited?</w:t>
            </w:r>
          </w:p>
        </w:tc>
      </w:tr>
      <w:tr w:rsidR="00845859" w:rsidTr="00845859">
        <w:tc>
          <w:tcPr>
            <w:tcW w:w="9576" w:type="dxa"/>
            <w:shd w:val="clear" w:color="auto" w:fill="EEECE1" w:themeFill="background2"/>
          </w:tcPr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</w:tc>
      </w:tr>
      <w:tr w:rsidR="00845859" w:rsidTr="00845859">
        <w:tc>
          <w:tcPr>
            <w:tcW w:w="9576" w:type="dxa"/>
            <w:shd w:val="clear" w:color="auto" w:fill="00B050"/>
          </w:tcPr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  <w:r w:rsidRPr="00845859">
              <w:rPr>
                <w:rFonts w:ascii="MyriadPro-Regular" w:hAnsi="MyriadPro-Regular" w:cs="MyriadPro-Regular"/>
                <w:b/>
                <w:color w:val="FFFFFF" w:themeColor="background1"/>
                <w:sz w:val="31"/>
                <w:szCs w:val="31"/>
              </w:rPr>
              <w:t>What is My Opinion? Why?</w:t>
            </w:r>
          </w:p>
        </w:tc>
      </w:tr>
      <w:tr w:rsidR="00845859" w:rsidTr="00845859">
        <w:tc>
          <w:tcPr>
            <w:tcW w:w="9576" w:type="dxa"/>
            <w:shd w:val="clear" w:color="auto" w:fill="EEECE1" w:themeFill="background2"/>
          </w:tcPr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  <w:p w:rsidR="00845859" w:rsidRDefault="00845859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908BCB"/>
                <w:sz w:val="31"/>
                <w:szCs w:val="31"/>
              </w:rPr>
            </w:pPr>
          </w:p>
        </w:tc>
      </w:tr>
    </w:tbl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3600" behindDoc="0" locked="0" layoutInCell="1" allowOverlap="1" wp14:anchorId="1A42AF4A" wp14:editId="0B4B6441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735" w:rsidRPr="00CD717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9F0735" w:rsidRPr="006E5FB7" w:rsidRDefault="00CC014D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Save</w:t>
      </w:r>
      <w:r w:rsidR="009F0735">
        <w:rPr>
          <w:rFonts w:ascii="MyriadPro-Regular" w:hAnsi="MyriadPro-Regular" w:cs="MyriadPro-Regular"/>
          <w:sz w:val="28"/>
          <w:szCs w:val="28"/>
        </w:rPr>
        <w:t xml:space="preserve"> your file to your Notebook Folder</w:t>
      </w:r>
      <w:r w:rsidR="009F0735"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9F0735" w:rsidRPr="00EC0CE1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C2893" w:rsidRPr="00EC0CE1" w:rsidRDefault="006C2893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BB" w:rsidRDefault="00BB36BB" w:rsidP="009F0735">
      <w:pPr>
        <w:spacing w:after="0" w:line="240" w:lineRule="auto"/>
      </w:pPr>
      <w:r>
        <w:separator/>
      </w:r>
    </w:p>
  </w:endnote>
  <w:endnote w:type="continuationSeparator" w:id="0">
    <w:p w:rsidR="00BB36BB" w:rsidRDefault="00BB36BB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BB" w:rsidRDefault="00BB36BB" w:rsidP="009F0735">
      <w:pPr>
        <w:spacing w:after="0" w:line="240" w:lineRule="auto"/>
      </w:pPr>
      <w:r>
        <w:separator/>
      </w:r>
    </w:p>
  </w:footnote>
  <w:footnote w:type="continuationSeparator" w:id="0">
    <w:p w:rsidR="00BB36BB" w:rsidRDefault="00BB36BB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7211"/>
    <w:multiLevelType w:val="hybridMultilevel"/>
    <w:tmpl w:val="8E108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66216"/>
    <w:multiLevelType w:val="hybridMultilevel"/>
    <w:tmpl w:val="5E902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36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01A02"/>
    <w:multiLevelType w:val="hybridMultilevel"/>
    <w:tmpl w:val="FF8E9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A7ED5"/>
    <w:multiLevelType w:val="hybridMultilevel"/>
    <w:tmpl w:val="5AE0BCCC"/>
    <w:lvl w:ilvl="0" w:tplc="9034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0"/>
  </w:num>
  <w:num w:numId="4">
    <w:abstractNumId w:val="19"/>
  </w:num>
  <w:num w:numId="5">
    <w:abstractNumId w:val="32"/>
  </w:num>
  <w:num w:numId="6">
    <w:abstractNumId w:val="23"/>
  </w:num>
  <w:num w:numId="7">
    <w:abstractNumId w:val="2"/>
  </w:num>
  <w:num w:numId="8">
    <w:abstractNumId w:val="36"/>
  </w:num>
  <w:num w:numId="9">
    <w:abstractNumId w:val="8"/>
  </w:num>
  <w:num w:numId="10">
    <w:abstractNumId w:val="13"/>
  </w:num>
  <w:num w:numId="11">
    <w:abstractNumId w:val="5"/>
  </w:num>
  <w:num w:numId="12">
    <w:abstractNumId w:val="22"/>
  </w:num>
  <w:num w:numId="13">
    <w:abstractNumId w:val="12"/>
  </w:num>
  <w:num w:numId="14">
    <w:abstractNumId w:val="40"/>
  </w:num>
  <w:num w:numId="15">
    <w:abstractNumId w:val="10"/>
  </w:num>
  <w:num w:numId="16">
    <w:abstractNumId w:val="29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7"/>
  </w:num>
  <w:num w:numId="22">
    <w:abstractNumId w:val="31"/>
  </w:num>
  <w:num w:numId="23">
    <w:abstractNumId w:val="34"/>
  </w:num>
  <w:num w:numId="24">
    <w:abstractNumId w:val="42"/>
  </w:num>
  <w:num w:numId="25">
    <w:abstractNumId w:val="1"/>
  </w:num>
  <w:num w:numId="26">
    <w:abstractNumId w:val="4"/>
  </w:num>
  <w:num w:numId="27">
    <w:abstractNumId w:val="33"/>
  </w:num>
  <w:num w:numId="28">
    <w:abstractNumId w:val="28"/>
  </w:num>
  <w:num w:numId="29">
    <w:abstractNumId w:val="25"/>
  </w:num>
  <w:num w:numId="30">
    <w:abstractNumId w:val="21"/>
  </w:num>
  <w:num w:numId="31">
    <w:abstractNumId w:val="38"/>
  </w:num>
  <w:num w:numId="32">
    <w:abstractNumId w:val="11"/>
  </w:num>
  <w:num w:numId="33">
    <w:abstractNumId w:val="24"/>
  </w:num>
  <w:num w:numId="34">
    <w:abstractNumId w:val="27"/>
  </w:num>
  <w:num w:numId="35">
    <w:abstractNumId w:val="26"/>
  </w:num>
  <w:num w:numId="36">
    <w:abstractNumId w:val="16"/>
  </w:num>
  <w:num w:numId="37">
    <w:abstractNumId w:val="18"/>
  </w:num>
  <w:num w:numId="38">
    <w:abstractNumId w:val="35"/>
  </w:num>
  <w:num w:numId="39">
    <w:abstractNumId w:val="0"/>
  </w:num>
  <w:num w:numId="40">
    <w:abstractNumId w:val="30"/>
  </w:num>
  <w:num w:numId="41">
    <w:abstractNumId w:val="39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D6498"/>
    <w:rsid w:val="00180163"/>
    <w:rsid w:val="001C7003"/>
    <w:rsid w:val="00284AA0"/>
    <w:rsid w:val="00297739"/>
    <w:rsid w:val="002B5A7C"/>
    <w:rsid w:val="002E3FDB"/>
    <w:rsid w:val="002F1296"/>
    <w:rsid w:val="003039B2"/>
    <w:rsid w:val="00314FF8"/>
    <w:rsid w:val="00351341"/>
    <w:rsid w:val="00362E3B"/>
    <w:rsid w:val="00375A28"/>
    <w:rsid w:val="005406BC"/>
    <w:rsid w:val="005D4EE4"/>
    <w:rsid w:val="00614AF7"/>
    <w:rsid w:val="006234E2"/>
    <w:rsid w:val="006C2893"/>
    <w:rsid w:val="006F7AB3"/>
    <w:rsid w:val="007134A0"/>
    <w:rsid w:val="007E4799"/>
    <w:rsid w:val="00812599"/>
    <w:rsid w:val="0081428A"/>
    <w:rsid w:val="00845859"/>
    <w:rsid w:val="008F235F"/>
    <w:rsid w:val="00912234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B414D0"/>
    <w:rsid w:val="00BB36BB"/>
    <w:rsid w:val="00BF14C4"/>
    <w:rsid w:val="00BF73EC"/>
    <w:rsid w:val="00CC014D"/>
    <w:rsid w:val="00D46171"/>
    <w:rsid w:val="00D97F21"/>
    <w:rsid w:val="00DA6F57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1536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4</cp:revision>
  <cp:lastPrinted>2017-08-04T17:13:00Z</cp:lastPrinted>
  <dcterms:created xsi:type="dcterms:W3CDTF">2017-08-04T16:50:00Z</dcterms:created>
  <dcterms:modified xsi:type="dcterms:W3CDTF">2017-08-04T17:31:00Z</dcterms:modified>
</cp:coreProperties>
</file>