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B: Matter and Chemical Change</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1</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 13:</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Lab Safety Table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Look at Figure 1.1 on page 93 of </w:t>
      </w:r>
      <w:r w:rsidDel="00000000" w:rsidR="00000000" w:rsidRPr="00000000">
        <w:rPr>
          <w:rFonts w:ascii="Verdana" w:cs="Verdana" w:eastAsia="Verdana" w:hAnsi="Verdana"/>
          <w:i w:val="1"/>
          <w:sz w:val="20"/>
          <w:szCs w:val="20"/>
          <w:rtl w:val="0"/>
        </w:rPr>
        <w:t xml:space="preserve">Science in Action 9</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Some of the students are not following proper safety procedures. There are ten inappropriate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actions shown. The numbers on the picture indicate the location of ten problems in the lab, which are listed on the </w:t>
      </w:r>
      <w:r w:rsidDel="00000000" w:rsidR="00000000" w:rsidRPr="00000000">
        <w:rPr>
          <w:rFonts w:ascii="Verdana" w:cs="Verdana" w:eastAsia="Verdana" w:hAnsi="Verdana"/>
          <w:b w:val="1"/>
          <w:sz w:val="20"/>
          <w:szCs w:val="20"/>
          <w:rtl w:val="0"/>
        </w:rPr>
        <w:t xml:space="preserve">Lab Safety Table</w:t>
      </w:r>
      <w:r w:rsidDel="00000000" w:rsidR="00000000" w:rsidRPr="00000000">
        <w:rPr>
          <w:rFonts w:ascii="Verdana" w:cs="Verdana" w:eastAsia="Verdana" w:hAnsi="Verdana"/>
          <w:sz w:val="20"/>
          <w:szCs w:val="20"/>
          <w:rtl w:val="0"/>
        </w:rPr>
        <w:t xml:space="preserve">. Suggest a better, safer way to perform each action.</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tbl>
      <w:tblPr>
        <w:tblStyle w:val="Table1"/>
        <w:tblW w:w="96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55"/>
        <w:gridCol w:w="4905"/>
        <w:tblGridChange w:id="0">
          <w:tblGrid>
            <w:gridCol w:w="4755"/>
            <w:gridCol w:w="4905"/>
          </w:tblGrid>
        </w:tblGridChange>
      </w:tblGrid>
      <w:tr>
        <w:trPr>
          <w:trHeight w:val="400" w:hRule="atLeast"/>
        </w:trPr>
        <w:tc>
          <w:tcPr>
            <w:gridSpan w:val="2"/>
            <w:shd w:fill="99999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Lab Safety Table</w:t>
            </w:r>
          </w:p>
        </w:tc>
      </w:tr>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Inappropriate Action</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Safe Procedure</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Students are not wearing safety glasses or goggles.</w:t>
            </w:r>
          </w:p>
          <w:p w:rsidR="00000000" w:rsidDel="00000000" w:rsidP="00000000" w:rsidRDefault="00000000" w:rsidRPr="00000000">
            <w:pPr>
              <w:contextualSpacing w:val="0"/>
              <w:rPr>
                <w:rFonts w:ascii="Verdana" w:cs="Verdana" w:eastAsia="Verdana" w:hAnsi="Verdan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 The boy on the left is pouring liquids into a funnel in an unsafe manner.</w:t>
            </w:r>
          </w:p>
          <w:p w:rsidR="00000000" w:rsidDel="00000000" w:rsidP="00000000" w:rsidRDefault="00000000" w:rsidRPr="00000000">
            <w:pPr>
              <w:contextualSpacing w:val="0"/>
              <w:rPr>
                <w:rFonts w:ascii="Verdana" w:cs="Verdana" w:eastAsia="Verdana" w:hAnsi="Verdan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 The Erlenmeyer flask is near the corner of the table and a stirring rod is left in it.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 An open pop can is left on the table.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 Liquid has been spilled on the floor.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 Beakers and containers are not labelled.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 A student has a hand over a Bunsen burner.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 A girl with long hair and a loose shirt is near an open flame.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 A girl is carrying boxes without being able to see where she is going.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 A girl is poking a screwdriver into an electrical outlet.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bl>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5" w:type="default"/>
      <w:footerReference r:id="rId6"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B</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1</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1</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lab_safety</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