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14</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31</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How Does the Surface Area of the Reactants Affect Reaction Rate?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Watch the video “</w:t>
      </w:r>
      <w:hyperlink r:id="rId5">
        <w:r w:rsidDel="00000000" w:rsidR="00000000" w:rsidRPr="00000000">
          <w:rPr>
            <w:rFonts w:ascii="Verdana" w:cs="Verdana" w:eastAsia="Verdana" w:hAnsi="Verdana"/>
            <w:color w:val="1155cc"/>
            <w:sz w:val="20"/>
            <w:szCs w:val="20"/>
            <w:u w:val="single"/>
            <w:rtl w:val="0"/>
          </w:rPr>
          <w:t xml:space="preserve">Surface Area and Reaction Rate</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As you watch the video, c</w:t>
      </w:r>
      <w:r w:rsidDel="00000000" w:rsidR="00000000" w:rsidRPr="00000000">
        <w:rPr>
          <w:rFonts w:ascii="Verdana" w:cs="Verdana" w:eastAsia="Verdana" w:hAnsi="Verdana"/>
          <w:sz w:val="20"/>
          <w:szCs w:val="20"/>
          <w:vertAlign w:val="baseline"/>
          <w:rtl w:val="0"/>
        </w:rPr>
        <w:t xml:space="preserve">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data table below</w:t>
      </w:r>
      <w:r w:rsidDel="00000000" w:rsidR="00000000" w:rsidRPr="00000000">
        <w:rPr>
          <w:rFonts w:ascii="Verdana" w:cs="Verdana" w:eastAsia="Verdana" w:hAnsi="Verdana"/>
          <w:sz w:val="20"/>
          <w:szCs w:val="20"/>
          <w:rtl w:val="0"/>
        </w:rPr>
        <w:t xml:space="preserve">, based on the experiment in the video.</w:t>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4"/>
        <w:gridCol w:w="4824"/>
        <w:tblGridChange w:id="0">
          <w:tblGrid>
            <w:gridCol w:w="4824"/>
            <w:gridCol w:w="4824"/>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Form of Tablet Added</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Reaction Time (s)</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whole tablet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crushed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Identify the </w:t>
      </w:r>
      <w:r w:rsidDel="00000000" w:rsidR="00000000" w:rsidRPr="00000000">
        <w:rPr>
          <w:rFonts w:ascii="Verdana" w:cs="Verdana" w:eastAsia="Verdana" w:hAnsi="Verdana"/>
          <w:b w:val="1"/>
          <w:sz w:val="20"/>
          <w:szCs w:val="20"/>
          <w:rtl w:val="0"/>
        </w:rPr>
        <w:t xml:space="preserve">manipulated variable</w:t>
      </w:r>
      <w:r w:rsidDel="00000000" w:rsidR="00000000" w:rsidRPr="00000000">
        <w:rPr>
          <w:rFonts w:ascii="Verdana" w:cs="Verdana" w:eastAsia="Verdana" w:hAnsi="Verdana"/>
          <w:sz w:val="20"/>
          <w:szCs w:val="20"/>
          <w:rtl w:val="0"/>
        </w:rPr>
        <w:t xml:space="preserve"> in the experiment. The manipulated variable is what the experimenter chooses to change in the experiment.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Identify the </w:t>
      </w:r>
      <w:r w:rsidDel="00000000" w:rsidR="00000000" w:rsidRPr="00000000">
        <w:rPr>
          <w:rFonts w:ascii="Verdana" w:cs="Verdana" w:eastAsia="Verdana" w:hAnsi="Verdana"/>
          <w:b w:val="1"/>
          <w:sz w:val="20"/>
          <w:szCs w:val="20"/>
          <w:rtl w:val="0"/>
        </w:rPr>
        <w:t xml:space="preserve">responding variable</w:t>
      </w:r>
      <w:r w:rsidDel="00000000" w:rsidR="00000000" w:rsidRPr="00000000">
        <w:rPr>
          <w:rFonts w:ascii="Verdana" w:cs="Verdana" w:eastAsia="Verdana" w:hAnsi="Verdana"/>
          <w:sz w:val="20"/>
          <w:szCs w:val="20"/>
          <w:rtl w:val="0"/>
        </w:rPr>
        <w:t xml:space="preserve"> in the experiment. The responding variable occurs as a result of changes in the experiment. The experimenter measures the responding variable.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Identify </w:t>
      </w:r>
      <w:r w:rsidDel="00000000" w:rsidR="00000000" w:rsidRPr="00000000">
        <w:rPr>
          <w:rFonts w:ascii="Verdana" w:cs="Verdana" w:eastAsia="Verdana" w:hAnsi="Verdana"/>
          <w:b w:val="1"/>
          <w:sz w:val="20"/>
          <w:szCs w:val="20"/>
          <w:rtl w:val="0"/>
        </w:rPr>
        <w:t xml:space="preserve">controlled variables</w:t>
      </w:r>
      <w:r w:rsidDel="00000000" w:rsidR="00000000" w:rsidRPr="00000000">
        <w:rPr>
          <w:rFonts w:ascii="Verdana" w:cs="Verdana" w:eastAsia="Verdana" w:hAnsi="Verdana"/>
          <w:sz w:val="20"/>
          <w:szCs w:val="20"/>
          <w:rtl w:val="0"/>
        </w:rPr>
        <w:t xml:space="preserve"> in the experiment. Controlled variables are anything that stays the same throughout the experiment, to make it a fair test.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widowControl w:val="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6" w:type="default"/>
          <w:footerReference r:id="rId7"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3</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particle size decreases, what happens to the total surface area of a reactant?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sz w:val="20"/>
          <w:szCs w:val="20"/>
          <w:rtl w:val="0"/>
        </w:rPr>
        <w:t xml:space="preserve">As a result, what happens to the rate of reaction?</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4</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14c</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reaction_rate_surface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adlc.wistia.com/medias/c8ukij63yz" TargetMode="Externa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