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3</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38</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Electric Safety</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electric safety videos listed in the online course. </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Question 1</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 and explain at least five (can you do more?) electric safety suggestions from the videos.</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u w:val="none"/>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left="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electric_safety</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