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4</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39</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What is an Electrochemical Cell?</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a battery?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composition of a 9V battery?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3</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energy conversion in an electrochemical cell?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4</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the difference between a wet cell and a dry cell.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5</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the four basic components of an electrochemical cell.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6</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safety items do you need when constructing a wet cell?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4a</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electrochem_cell1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