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4</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54</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Planet Comparison</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through the readings and videos in Unit E Lesson 4 and complete the questions below.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table below, to compare the planets of the solar system.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30.0000000000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2750.0000000000005"/>
        <w:gridCol w:w="2750.0000000000005"/>
        <w:gridCol w:w="2750.0000000000005"/>
        <w:tblGridChange w:id="0">
          <w:tblGrid>
            <w:gridCol w:w="1380"/>
            <w:gridCol w:w="2750.0000000000005"/>
            <w:gridCol w:w="2750.0000000000005"/>
            <w:gridCol w:w="2750.000000000000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Planet</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Composition</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Atmosphere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Weather and Climate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Mercury</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atmosphere 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magnetic field.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Extreme weather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changes - from too hot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too cold. Lava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flowing on surface.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Often hit by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meteoroids, etc.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Venus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Earth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Inner planet - rocky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(terrestrial)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Atmosphere helps to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protect Earth from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meteoroids. Magnetic</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field protects Earth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 solar wind.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Temperatures vary,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but most are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comfortable for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humans.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Jupiter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Composed of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hydrogen and helium.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Temperature is very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cold.</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Saturn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Uranus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Neptune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Outer planet - more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gaseous (Jovian, Gas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giant)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2</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the characteristics of a </w:t>
      </w:r>
      <w:r w:rsidDel="00000000" w:rsidR="00000000" w:rsidRPr="00000000">
        <w:rPr>
          <w:rFonts w:ascii="Verdana" w:cs="Verdana" w:eastAsia="Verdana" w:hAnsi="Verdana"/>
          <w:b w:val="1"/>
          <w:sz w:val="20"/>
          <w:szCs w:val="20"/>
          <w:rtl w:val="0"/>
        </w:rPr>
        <w:t xml:space="preserve">terrestrial planet</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3</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the characteristics of a </w:t>
      </w:r>
      <w:r w:rsidDel="00000000" w:rsidR="00000000" w:rsidRPr="00000000">
        <w:rPr>
          <w:rFonts w:ascii="Verdana" w:cs="Verdana" w:eastAsia="Verdana" w:hAnsi="Verdana"/>
          <w:b w:val="1"/>
          <w:sz w:val="20"/>
          <w:szCs w:val="20"/>
          <w:rtl w:val="0"/>
        </w:rPr>
        <w:t xml:space="preserve">gas (Jovian) planet</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4</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are asteroids? Where are they most densely located?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5</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a comet?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6</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difference between meteoroids, meteors, and meteorites?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planet_compare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