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E5" w:rsidRPr="00FF0043" w:rsidRDefault="00A17DB3" w:rsidP="004852E5">
      <w:pPr>
        <w:rPr>
          <w:rFonts w:ascii="Times New Roman" w:hAnsi="Times New Roman" w:cs="Times New Roman"/>
          <w:b/>
          <w:color w:val="76923C"/>
          <w:sz w:val="20"/>
          <w:szCs w:val="20"/>
        </w:rPr>
      </w:pPr>
      <w:r w:rsidRPr="00FF0043">
        <w:rPr>
          <w:rFonts w:ascii="Times New Roman" w:hAnsi="Times New Roman" w:cs="Times New Roman"/>
          <w:b/>
          <w:color w:val="76923C"/>
          <w:sz w:val="20"/>
          <w:szCs w:val="20"/>
        </w:rPr>
        <w:t>1.1 Image</w:t>
      </w:r>
      <w:r w:rsidRPr="00FF0043">
        <w:rPr>
          <w:rFonts w:ascii="Times New Roman" w:hAnsi="Times New Roman" w:cs="Times New Roman"/>
          <w:b/>
          <w:color w:val="76923C"/>
          <w:sz w:val="20"/>
          <w:szCs w:val="20"/>
        </w:rPr>
        <w:t xml:space="preserve"> Analysis</w:t>
      </w:r>
    </w:p>
    <w:p w:rsidR="004852E5" w:rsidRPr="00FF0043" w:rsidRDefault="00A17DB3" w:rsidP="004852E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F0043">
        <w:rPr>
          <w:rFonts w:ascii="Times New Roman" w:hAnsi="Times New Roman" w:cs="Times New Roman"/>
          <w:sz w:val="20"/>
          <w:szCs w:val="20"/>
          <w:lang w:val="en-US"/>
        </w:rPr>
        <w:t xml:space="preserve">The following chart is designed to help you analyze the image for the </w:t>
      </w:r>
      <w:r w:rsidRPr="00FF0043">
        <w:rPr>
          <w:rFonts w:ascii="Times New Roman" w:hAnsi="Times New Roman" w:cs="Times New Roman"/>
          <w:b/>
          <w:color w:val="4F81BD"/>
          <w:sz w:val="20"/>
          <w:szCs w:val="20"/>
          <w:lang w:val="en-US"/>
        </w:rPr>
        <w:t>“What?”</w:t>
      </w:r>
      <w:r w:rsidRPr="00FF0043">
        <w:rPr>
          <w:rFonts w:ascii="Times New Roman" w:hAnsi="Times New Roman" w:cs="Times New Roman"/>
          <w:color w:val="4F81BD"/>
          <w:sz w:val="20"/>
          <w:szCs w:val="20"/>
          <w:lang w:val="en-US"/>
        </w:rPr>
        <w:t xml:space="preserve"> </w:t>
      </w:r>
      <w:r w:rsidRPr="00FF0043">
        <w:rPr>
          <w:rFonts w:ascii="Times New Roman" w:hAnsi="Times New Roman" w:cs="Times New Roman"/>
          <w:sz w:val="20"/>
          <w:szCs w:val="20"/>
          <w:lang w:val="en-US"/>
        </w:rPr>
        <w:t>section of the “What? So W</w:t>
      </w:r>
      <w:r w:rsidRPr="00FF0043">
        <w:rPr>
          <w:rFonts w:ascii="Times New Roman" w:hAnsi="Times New Roman" w:cs="Times New Roman"/>
          <w:sz w:val="20"/>
          <w:szCs w:val="20"/>
          <w:lang w:val="en-US"/>
        </w:rPr>
        <w:t>hat? Now What?” chart on the next page</w:t>
      </w:r>
      <w:r w:rsidRPr="00FF0043">
        <w:rPr>
          <w:rFonts w:ascii="Times New Roman" w:hAnsi="Times New Roman" w:cs="Times New Roman"/>
          <w:sz w:val="20"/>
          <w:szCs w:val="20"/>
          <w:lang w:val="en-US"/>
        </w:rPr>
        <w:t xml:space="preserve">.  </w:t>
      </w:r>
      <w:r w:rsidRPr="00FF0043">
        <w:rPr>
          <w:rFonts w:ascii="Times New Roman" w:hAnsi="Times New Roman" w:cs="Times New Roman"/>
          <w:b/>
          <w:sz w:val="20"/>
          <w:szCs w:val="20"/>
          <w:lang w:val="en-US"/>
        </w:rPr>
        <w:t>First</w:t>
      </w:r>
      <w:r w:rsidRPr="00FF004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F0043">
        <w:rPr>
          <w:rFonts w:ascii="Times New Roman" w:hAnsi="Times New Roman" w:cs="Times New Roman"/>
          <w:sz w:val="20"/>
          <w:szCs w:val="20"/>
          <w:lang w:val="en-US"/>
        </w:rPr>
        <w:t xml:space="preserve">view </w:t>
      </w:r>
      <w:r w:rsidRPr="00FF0043">
        <w:rPr>
          <w:rFonts w:ascii="Times New Roman" w:hAnsi="Times New Roman" w:cs="Times New Roman"/>
          <w:sz w:val="20"/>
          <w:szCs w:val="20"/>
        </w:rPr>
        <w:t xml:space="preserve">the </w:t>
      </w:r>
      <w:r w:rsidRPr="00FF0043">
        <w:rPr>
          <w:rFonts w:ascii="Times New Roman" w:hAnsi="Times New Roman" w:cs="Times New Roman"/>
          <w:b/>
          <w:sz w:val="20"/>
          <w:szCs w:val="20"/>
        </w:rPr>
        <w:t>Aaron Paquette video</w:t>
      </w:r>
      <w:r w:rsidRPr="00FF0043">
        <w:rPr>
          <w:rFonts w:ascii="Times New Roman" w:hAnsi="Times New Roman" w:cs="Times New Roman"/>
          <w:sz w:val="20"/>
          <w:szCs w:val="20"/>
        </w:rPr>
        <w:t xml:space="preserve"> in which the artist analyzes his painting, and then review the </w:t>
      </w:r>
      <w:r w:rsidRPr="00FF0043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Unlocking the Mysteries of Visual Images </w:t>
      </w:r>
      <w:r w:rsidRPr="00FF0043">
        <w:rPr>
          <w:rFonts w:ascii="Times New Roman" w:hAnsi="Times New Roman" w:cs="Times New Roman"/>
          <w:sz w:val="20"/>
          <w:szCs w:val="20"/>
        </w:rPr>
        <w:t xml:space="preserve">tutorial.  Your answers in this assignment </w:t>
      </w:r>
      <w:r w:rsidRPr="00FF0043">
        <w:rPr>
          <w:rFonts w:ascii="Times New Roman" w:hAnsi="Times New Roman" w:cs="Times New Roman"/>
          <w:b/>
          <w:sz w:val="20"/>
          <w:szCs w:val="20"/>
        </w:rPr>
        <w:t xml:space="preserve">must </w:t>
      </w:r>
      <w:r w:rsidRPr="00FF0043">
        <w:rPr>
          <w:rFonts w:ascii="Times New Roman" w:hAnsi="Times New Roman" w:cs="Times New Roman"/>
          <w:sz w:val="20"/>
          <w:szCs w:val="20"/>
        </w:rPr>
        <w:t xml:space="preserve">be based on those two important resources. </w:t>
      </w:r>
      <w:r w:rsidRPr="00FF0043">
        <w:rPr>
          <w:rFonts w:ascii="Times New Roman" w:hAnsi="Times New Roman" w:cs="Times New Roman"/>
          <w:sz w:val="20"/>
          <w:szCs w:val="20"/>
        </w:rPr>
        <w:t xml:space="preserve"> </w:t>
      </w:r>
      <w:r w:rsidRPr="00FF0043">
        <w:rPr>
          <w:rFonts w:ascii="Times New Roman" w:hAnsi="Times New Roman" w:cs="Times New Roman"/>
          <w:sz w:val="20"/>
          <w:szCs w:val="20"/>
          <w:lang w:val="en-US"/>
        </w:rPr>
        <w:t>Complete all sections of the chart with as much detail as p</w:t>
      </w:r>
      <w:r w:rsidRPr="00FF0043">
        <w:rPr>
          <w:rFonts w:ascii="Times New Roman" w:hAnsi="Times New Roman" w:cs="Times New Roman"/>
          <w:sz w:val="20"/>
          <w:szCs w:val="20"/>
          <w:lang w:val="en-US"/>
        </w:rPr>
        <w:t>ossible</w:t>
      </w:r>
      <w:r w:rsidRPr="00FF0043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7737"/>
      </w:tblGrid>
      <w:tr w:rsidR="004852E5" w:rsidRPr="00FF0043" w:rsidTr="00AC257B">
        <w:tc>
          <w:tcPr>
            <w:tcW w:w="9576" w:type="dxa"/>
            <w:gridSpan w:val="2"/>
            <w:shd w:val="clear" w:color="auto" w:fill="4F81BD" w:themeFill="accent1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E5" w:rsidRPr="00FF0043" w:rsidTr="00AC257B">
        <w:tc>
          <w:tcPr>
            <w:tcW w:w="1668" w:type="dxa"/>
            <w:shd w:val="clear" w:color="auto" w:fill="8DB3E2" w:themeFill="text2" w:themeFillTint="66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7908" w:type="dxa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Based on the </w:t>
            </w: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, the </w:t>
            </w: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details in the image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what Paquette expresses in his video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write a sentence that expresses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the main idea (purpose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or message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) of this painting.</w:t>
            </w: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E5" w:rsidRPr="00FF0043" w:rsidTr="00AC257B">
        <w:tc>
          <w:tcPr>
            <w:tcW w:w="1668" w:type="dxa"/>
            <w:shd w:val="clear" w:color="auto" w:fill="548DD4" w:themeFill="text2" w:themeFillTint="99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Framing</w:t>
            </w:r>
          </w:p>
        </w:tc>
        <w:tc>
          <w:tcPr>
            <w:tcW w:w="7908" w:type="dxa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Review how framing</w:t>
            </w:r>
            <w:r w:rsidR="00FF0043">
              <w:rPr>
                <w:rFonts w:ascii="Times New Roman" w:hAnsi="Times New Roman" w:cs="Times New Roman"/>
                <w:sz w:val="20"/>
                <w:szCs w:val="20"/>
              </w:rPr>
              <w:t xml:space="preserve"> is used by some text creators.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How is framing used in this image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?  (What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forms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the lines of the frame, and what are they framing? What does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framing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in this image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call attention to or highlight?)</w:t>
            </w: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E5" w:rsidRPr="00FF0043" w:rsidTr="00002717">
        <w:trPr>
          <w:trHeight w:val="2066"/>
        </w:trPr>
        <w:tc>
          <w:tcPr>
            <w:tcW w:w="1668" w:type="dxa"/>
            <w:shd w:val="clear" w:color="auto" w:fill="8DB3E2" w:themeFill="text2" w:themeFillTint="66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Symbols</w:t>
            </w:r>
          </w:p>
        </w:tc>
        <w:tc>
          <w:tcPr>
            <w:tcW w:w="7908" w:type="dxa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What are some of the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key symbols in this painting? What do these symbols mean? How do they help communicate the painting’s main idea/message?</w:t>
            </w:r>
          </w:p>
        </w:tc>
      </w:tr>
      <w:tr w:rsidR="004852E5" w:rsidRPr="00FF0043" w:rsidTr="00AC257B">
        <w:tc>
          <w:tcPr>
            <w:tcW w:w="1668" w:type="dxa"/>
            <w:shd w:val="clear" w:color="auto" w:fill="548DD4" w:themeFill="text2" w:themeFillTint="99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Colour and Contrast</w:t>
            </w:r>
          </w:p>
        </w:tc>
        <w:tc>
          <w:tcPr>
            <w:tcW w:w="7908" w:type="dxa"/>
          </w:tcPr>
          <w:p w:rsidR="00FE2ED8" w:rsidRPr="00FF0043" w:rsidRDefault="00A17DB3" w:rsidP="00FE2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Review how colour and contrast are used in images. Give </w:t>
            </w: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several specific examples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of how colour and contrast have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been used in this image and what they mean. Explain how they help communicate the main idea of the image.</w:t>
            </w: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E5" w:rsidRPr="00FF0043" w:rsidTr="00AC257B">
        <w:tc>
          <w:tcPr>
            <w:tcW w:w="1668" w:type="dxa"/>
            <w:shd w:val="clear" w:color="auto" w:fill="8DB3E2" w:themeFill="text2" w:themeFillTint="66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Lines (vertical, horizontal, diagonal)</w:t>
            </w:r>
          </w:p>
        </w:tc>
        <w:tc>
          <w:tcPr>
            <w:tcW w:w="7908" w:type="dxa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In several parts of the video, t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he artist describes his use of lines in th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e painting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Review the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different types of lines that are used by text creators. What types of lines does Paquette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use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nd how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do they help him convey the main idea of his image?</w:t>
            </w: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E5" w:rsidRPr="00FF0043" w:rsidTr="00AC257B">
        <w:tc>
          <w:tcPr>
            <w:tcW w:w="1668" w:type="dxa"/>
            <w:shd w:val="clear" w:color="auto" w:fill="548DD4" w:themeFill="text2" w:themeFillTint="99"/>
          </w:tcPr>
          <w:p w:rsidR="004852E5" w:rsidRPr="00FF0043" w:rsidRDefault="00A17DB3" w:rsidP="009A0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sz w:val="20"/>
                <w:szCs w:val="20"/>
              </w:rPr>
              <w:t>Composition</w:t>
            </w:r>
          </w:p>
        </w:tc>
        <w:tc>
          <w:tcPr>
            <w:tcW w:w="7908" w:type="dxa"/>
          </w:tcPr>
          <w:p w:rsidR="00AC257B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 does the artist say about the painting’s organization (composition)?  Also, how does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FF0043">
              <w:rPr>
                <w:rFonts w:ascii="Times New Roman" w:hAnsi="Times New Roman" w:cs="Times New Roman"/>
                <w:sz w:val="20"/>
                <w:szCs w:val="20"/>
              </w:rPr>
              <w:t>Rule of Thirds apply to this painting?</w:t>
            </w: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C257B" w:rsidRPr="00FF0043" w:rsidRDefault="00A17DB3" w:rsidP="009A06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2E5" w:rsidRPr="00FF0043" w:rsidRDefault="00A17DB3" w:rsidP="004852E5">
      <w:pPr>
        <w:rPr>
          <w:rFonts w:ascii="Times New Roman" w:hAnsi="Times New Roman" w:cs="Times New Roman"/>
          <w:b/>
          <w:color w:val="76923C"/>
          <w:sz w:val="20"/>
          <w:szCs w:val="20"/>
        </w:rPr>
      </w:pPr>
      <w:r w:rsidRPr="00FF0043">
        <w:rPr>
          <w:rFonts w:ascii="Times New Roman" w:hAnsi="Times New Roman" w:cs="Times New Roman"/>
          <w:b/>
          <w:sz w:val="20"/>
          <w:szCs w:val="20"/>
        </w:rPr>
        <w:br w:type="page"/>
      </w:r>
      <w:r w:rsidRPr="00FF0043">
        <w:rPr>
          <w:rFonts w:ascii="Times New Roman" w:hAnsi="Times New Roman" w:cs="Times New Roman"/>
          <w:b/>
          <w:color w:val="76923C"/>
          <w:sz w:val="20"/>
          <w:szCs w:val="20"/>
        </w:rPr>
        <w:lastRenderedPageBreak/>
        <w:t>1.1 Image</w:t>
      </w:r>
      <w:r w:rsidRPr="00FF0043">
        <w:rPr>
          <w:rFonts w:ascii="Times New Roman" w:hAnsi="Times New Roman" w:cs="Times New Roman"/>
          <w:b/>
          <w:color w:val="76923C"/>
          <w:sz w:val="20"/>
          <w:szCs w:val="20"/>
        </w:rPr>
        <w:t xml:space="preserve"> Analysis</w:t>
      </w:r>
    </w:p>
    <w:p w:rsidR="004852E5" w:rsidRPr="00FF0043" w:rsidRDefault="00A17DB3" w:rsidP="004852E5">
      <w:pPr>
        <w:rPr>
          <w:rFonts w:ascii="Times New Roman" w:hAnsi="Times New Roman" w:cs="Times New Roman"/>
          <w:b/>
          <w:sz w:val="20"/>
          <w:szCs w:val="20"/>
        </w:rPr>
      </w:pPr>
      <w:r w:rsidRPr="00FF0043">
        <w:rPr>
          <w:rFonts w:ascii="Times New Roman" w:hAnsi="Times New Roman" w:cs="Times New Roman"/>
          <w:sz w:val="20"/>
          <w:szCs w:val="20"/>
        </w:rPr>
        <w:t xml:space="preserve">Now, take what you have done on the previous chart and apply it to the </w:t>
      </w:r>
      <w:r w:rsidRPr="00FF0043">
        <w:rPr>
          <w:rFonts w:ascii="Times New Roman" w:hAnsi="Times New Roman" w:cs="Times New Roman"/>
          <w:color w:val="4F81BD"/>
          <w:sz w:val="20"/>
          <w:szCs w:val="20"/>
        </w:rPr>
        <w:t>“</w:t>
      </w:r>
      <w:r w:rsidRPr="00FF0043">
        <w:rPr>
          <w:rFonts w:ascii="Times New Roman" w:hAnsi="Times New Roman" w:cs="Times New Roman"/>
          <w:b/>
          <w:color w:val="4F81BD"/>
          <w:sz w:val="20"/>
          <w:szCs w:val="20"/>
        </w:rPr>
        <w:t>What?</w:t>
      </w:r>
      <w:r w:rsidRPr="00FF0043">
        <w:rPr>
          <w:rFonts w:ascii="Times New Roman" w:hAnsi="Times New Roman" w:cs="Times New Roman"/>
          <w:color w:val="4F81BD"/>
          <w:sz w:val="20"/>
          <w:szCs w:val="20"/>
        </w:rPr>
        <w:t xml:space="preserve">” </w:t>
      </w:r>
      <w:r w:rsidRPr="00FF0043">
        <w:rPr>
          <w:rFonts w:ascii="Times New Roman" w:hAnsi="Times New Roman" w:cs="Times New Roman"/>
          <w:sz w:val="20"/>
          <w:szCs w:val="20"/>
        </w:rPr>
        <w:t xml:space="preserve">section of the chart, focusing on just the most important details and ideas from your previous chart.  From there, move on to complete the </w:t>
      </w:r>
      <w:r w:rsidRPr="00FF0043">
        <w:rPr>
          <w:rFonts w:ascii="Times New Roman" w:hAnsi="Times New Roman" w:cs="Times New Roman"/>
          <w:b/>
          <w:color w:val="E36C0A"/>
          <w:sz w:val="20"/>
          <w:szCs w:val="20"/>
        </w:rPr>
        <w:t>So What?</w:t>
      </w:r>
      <w:r w:rsidRPr="00FF0043">
        <w:rPr>
          <w:rFonts w:ascii="Times New Roman" w:hAnsi="Times New Roman" w:cs="Times New Roman"/>
          <w:color w:val="E36C0A"/>
          <w:sz w:val="20"/>
          <w:szCs w:val="20"/>
        </w:rPr>
        <w:t xml:space="preserve"> </w:t>
      </w:r>
      <w:r w:rsidRPr="00FF0043">
        <w:rPr>
          <w:rFonts w:ascii="Times New Roman" w:hAnsi="Times New Roman" w:cs="Times New Roman"/>
          <w:sz w:val="20"/>
          <w:szCs w:val="20"/>
        </w:rPr>
        <w:t xml:space="preserve">and </w:t>
      </w:r>
      <w:r w:rsidRPr="00FF0043">
        <w:rPr>
          <w:rFonts w:ascii="Times New Roman" w:hAnsi="Times New Roman" w:cs="Times New Roman"/>
          <w:b/>
          <w:color w:val="76923C"/>
          <w:sz w:val="20"/>
          <w:szCs w:val="20"/>
        </w:rPr>
        <w:t>Now What?</w:t>
      </w:r>
      <w:r w:rsidRPr="00FF0043">
        <w:rPr>
          <w:rFonts w:ascii="Times New Roman" w:hAnsi="Times New Roman" w:cs="Times New Roman"/>
          <w:color w:val="76923C"/>
          <w:sz w:val="20"/>
          <w:szCs w:val="20"/>
        </w:rPr>
        <w:t xml:space="preserve"> </w:t>
      </w:r>
      <w:r w:rsidRPr="00FF0043">
        <w:rPr>
          <w:rFonts w:ascii="Times New Roman" w:hAnsi="Times New Roman" w:cs="Times New Roman"/>
          <w:sz w:val="20"/>
          <w:szCs w:val="20"/>
        </w:rPr>
        <w:t xml:space="preserve">sections of this chart.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742"/>
        <w:gridCol w:w="6647"/>
      </w:tblGrid>
      <w:tr w:rsidR="004852E5" w:rsidRPr="00FF0043" w:rsidTr="001B3185">
        <w:trPr>
          <w:tblCellSpacing w:w="15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4852E5" w:rsidRPr="00FF0043" w:rsidRDefault="00A17DB3" w:rsidP="009A0698">
            <w:pPr>
              <w:pStyle w:val="boldwhite"/>
              <w:rPr>
                <w:b/>
                <w:color w:val="FFFFFF"/>
                <w:sz w:val="20"/>
                <w:szCs w:val="20"/>
              </w:rPr>
            </w:pPr>
            <w:r w:rsidRPr="00FF0043">
              <w:rPr>
                <w:b/>
                <w:color w:val="FFFFFF"/>
                <w:sz w:val="20"/>
                <w:szCs w:val="20"/>
              </w:rPr>
              <w:t xml:space="preserve">         What?</w:t>
            </w:r>
          </w:p>
          <w:p w:rsidR="004852E5" w:rsidRPr="00FF0043" w:rsidRDefault="00A17DB3" w:rsidP="004852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hanging="5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 </w:t>
            </w: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details</w:t>
            </w:r>
          </w:p>
          <w:p w:rsidR="004852E5" w:rsidRPr="00FF0043" w:rsidRDefault="00A17DB3" w:rsidP="004852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hanging="5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 techniques</w:t>
            </w:r>
          </w:p>
          <w:p w:rsidR="004852E5" w:rsidRPr="00FF0043" w:rsidRDefault="00A17DB3" w:rsidP="004852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hanging="5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 effects</w:t>
            </w:r>
          </w:p>
          <w:p w:rsidR="004852E5" w:rsidRPr="00FF0043" w:rsidRDefault="00A17DB3" w:rsidP="004852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34" w:hanging="5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 main ideas</w:t>
            </w:r>
          </w:p>
        </w:tc>
        <w:tc>
          <w:tcPr>
            <w:tcW w:w="3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2E5" w:rsidRPr="00FF0043" w:rsidRDefault="00A17DB3" w:rsidP="009A0698">
            <w:pPr>
              <w:pStyle w:val="NormalWeb"/>
              <w:rPr>
                <w:sz w:val="20"/>
                <w:szCs w:val="20"/>
              </w:rPr>
            </w:pPr>
            <w:r w:rsidRPr="00FF0043">
              <w:rPr>
                <w:b/>
                <w:sz w:val="20"/>
                <w:szCs w:val="20"/>
              </w:rPr>
              <w:t>Consider</w:t>
            </w:r>
            <w:r w:rsidRPr="00FF0043">
              <w:rPr>
                <w:sz w:val="20"/>
                <w:szCs w:val="20"/>
              </w:rPr>
              <w:t xml:space="preserve"> the text overall.  What </w:t>
            </w:r>
            <w:r w:rsidRPr="00FF0043">
              <w:rPr>
                <w:b/>
                <w:sz w:val="20"/>
                <w:szCs w:val="20"/>
              </w:rPr>
              <w:t>message</w:t>
            </w:r>
            <w:r w:rsidRPr="00FF0043">
              <w:rPr>
                <w:sz w:val="20"/>
                <w:szCs w:val="20"/>
              </w:rPr>
              <w:t xml:space="preserve"> does the image seem to be sending? What </w:t>
            </w:r>
            <w:r w:rsidRPr="00FF0043">
              <w:rPr>
                <w:b/>
                <w:sz w:val="20"/>
                <w:szCs w:val="20"/>
              </w:rPr>
              <w:t>details</w:t>
            </w:r>
            <w:r w:rsidRPr="00FF0043">
              <w:rPr>
                <w:sz w:val="20"/>
                <w:szCs w:val="20"/>
              </w:rPr>
              <w:t xml:space="preserve"> and </w:t>
            </w:r>
            <w:r w:rsidRPr="00FF0043">
              <w:rPr>
                <w:b/>
                <w:sz w:val="20"/>
                <w:szCs w:val="20"/>
              </w:rPr>
              <w:t xml:space="preserve">techniques </w:t>
            </w:r>
            <w:r w:rsidRPr="00FF0043">
              <w:rPr>
                <w:sz w:val="20"/>
                <w:szCs w:val="20"/>
              </w:rPr>
              <w:t>(see your notes on the previous page) help convey that message?</w:t>
            </w:r>
          </w:p>
          <w:p w:rsidR="004852E5" w:rsidRPr="00FF0043" w:rsidRDefault="00A17DB3" w:rsidP="009A0698">
            <w:pPr>
              <w:pStyle w:val="NormalWeb"/>
              <w:rPr>
                <w:sz w:val="20"/>
                <w:szCs w:val="20"/>
              </w:rPr>
            </w:pPr>
          </w:p>
          <w:p w:rsidR="004852E5" w:rsidRPr="00FF0043" w:rsidRDefault="00A17DB3" w:rsidP="009A0698">
            <w:pPr>
              <w:pStyle w:val="NormalWeb"/>
              <w:rPr>
                <w:sz w:val="20"/>
                <w:szCs w:val="20"/>
              </w:rPr>
            </w:pPr>
          </w:p>
          <w:p w:rsidR="004852E5" w:rsidRPr="00FF0043" w:rsidRDefault="00A17DB3" w:rsidP="009A06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E5" w:rsidRPr="00FF0043" w:rsidTr="001B31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852E5" w:rsidRPr="00FF0043" w:rsidRDefault="00A17DB3" w:rsidP="009A0698">
            <w:pPr>
              <w:pStyle w:val="boldwhite"/>
              <w:jc w:val="center"/>
              <w:rPr>
                <w:b/>
                <w:color w:val="FFFFFF"/>
                <w:sz w:val="20"/>
                <w:szCs w:val="20"/>
              </w:rPr>
            </w:pPr>
            <w:r w:rsidRPr="00FF0043">
              <w:rPr>
                <w:b/>
                <w:color w:val="FFFFFF"/>
                <w:sz w:val="20"/>
                <w:szCs w:val="20"/>
              </w:rPr>
              <w:t>So What?</w:t>
            </w:r>
          </w:p>
          <w:p w:rsidR="004852E5" w:rsidRPr="00FF0043" w:rsidRDefault="00A17DB3" w:rsidP="004852E5">
            <w:pPr>
              <w:pStyle w:val="ListParagraph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personal connection</w:t>
            </w:r>
          </w:p>
          <w:p w:rsidR="004852E5" w:rsidRPr="00FF0043" w:rsidRDefault="00A17DB3" w:rsidP="004852E5">
            <w:pPr>
              <w:pStyle w:val="ListParagraph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connect to other texts</w:t>
            </w:r>
          </w:p>
          <w:p w:rsidR="004852E5" w:rsidRPr="00FF0043" w:rsidRDefault="00A17DB3" w:rsidP="004852E5">
            <w:pPr>
              <w:pStyle w:val="ListParagraph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connect to other people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2E5" w:rsidRPr="00FF0043" w:rsidRDefault="00A17DB3" w:rsidP="009A0698">
            <w:pPr>
              <w:pStyle w:val="NormalWeb"/>
              <w:rPr>
                <w:sz w:val="20"/>
                <w:szCs w:val="20"/>
              </w:rPr>
            </w:pPr>
            <w:r w:rsidRPr="00FF0043">
              <w:rPr>
                <w:b/>
                <w:sz w:val="20"/>
                <w:szCs w:val="20"/>
              </w:rPr>
              <w:t>Explore</w:t>
            </w:r>
            <w:r w:rsidRPr="00FF0043">
              <w:rPr>
                <w:sz w:val="20"/>
                <w:szCs w:val="20"/>
              </w:rPr>
              <w:t xml:space="preserve"> relevance of the text to </w:t>
            </w:r>
            <w:r w:rsidRPr="00FF0043">
              <w:rPr>
                <w:rStyle w:val="dkgreen"/>
                <w:b/>
                <w:sz w:val="20"/>
                <w:szCs w:val="20"/>
              </w:rPr>
              <w:t>you or others</w:t>
            </w:r>
            <w:r w:rsidRPr="00FF0043">
              <w:rPr>
                <w:sz w:val="20"/>
                <w:szCs w:val="20"/>
              </w:rPr>
              <w:t xml:space="preserve">. Identify and explain how this image reminds you of other </w:t>
            </w:r>
            <w:r w:rsidRPr="00FF0043">
              <w:rPr>
                <w:b/>
                <w:sz w:val="20"/>
                <w:szCs w:val="20"/>
              </w:rPr>
              <w:t>texts</w:t>
            </w:r>
            <w:r w:rsidRPr="00FF0043">
              <w:rPr>
                <w:sz w:val="20"/>
                <w:szCs w:val="20"/>
              </w:rPr>
              <w:t>, a</w:t>
            </w:r>
            <w:r w:rsidRPr="00FF0043">
              <w:rPr>
                <w:b/>
                <w:sz w:val="20"/>
                <w:szCs w:val="20"/>
              </w:rPr>
              <w:t xml:space="preserve"> </w:t>
            </w:r>
            <w:r w:rsidRPr="00FF0043">
              <w:rPr>
                <w:b/>
                <w:sz w:val="20"/>
                <w:szCs w:val="20"/>
              </w:rPr>
              <w:t>personal experience</w:t>
            </w:r>
            <w:r w:rsidRPr="00FF0043">
              <w:rPr>
                <w:sz w:val="20"/>
                <w:szCs w:val="20"/>
              </w:rPr>
              <w:t xml:space="preserve">, or an </w:t>
            </w:r>
            <w:r w:rsidRPr="00FF0043">
              <w:rPr>
                <w:b/>
                <w:sz w:val="20"/>
                <w:szCs w:val="20"/>
              </w:rPr>
              <w:t>experience of someone</w:t>
            </w:r>
            <w:r w:rsidRPr="00FF0043">
              <w:rPr>
                <w:b/>
                <w:sz w:val="20"/>
                <w:szCs w:val="20"/>
              </w:rPr>
              <w:t xml:space="preserve"> you know</w:t>
            </w:r>
            <w:r w:rsidRPr="00FF0043">
              <w:rPr>
                <w:sz w:val="20"/>
                <w:szCs w:val="20"/>
              </w:rPr>
              <w:t>. Be specific in your example and how it connects to the image.</w:t>
            </w:r>
          </w:p>
          <w:p w:rsidR="004852E5" w:rsidRPr="00FF0043" w:rsidRDefault="00A17DB3" w:rsidP="009A0698">
            <w:pPr>
              <w:spacing w:before="100" w:beforeAutospacing="1" w:after="100" w:afterAutospacing="1" w:line="240" w:lineRule="auto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E5" w:rsidRPr="00FF0043" w:rsidRDefault="00A17DB3" w:rsidP="009A06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E5" w:rsidRPr="00FF0043" w:rsidTr="009A06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6923C" w:themeFill="accent3" w:themeFillShade="BF"/>
            <w:vAlign w:val="center"/>
          </w:tcPr>
          <w:p w:rsidR="004852E5" w:rsidRPr="00FF0043" w:rsidRDefault="00A17DB3" w:rsidP="009A0698">
            <w:pPr>
              <w:pStyle w:val="boldwhite"/>
              <w:jc w:val="center"/>
              <w:rPr>
                <w:b/>
                <w:color w:val="FFFFFF"/>
                <w:sz w:val="20"/>
                <w:szCs w:val="20"/>
              </w:rPr>
            </w:pPr>
            <w:r w:rsidRPr="00FF0043">
              <w:rPr>
                <w:b/>
                <w:color w:val="FFFFFF"/>
                <w:sz w:val="20"/>
                <w:szCs w:val="20"/>
              </w:rPr>
              <w:t>Now What?</w:t>
            </w:r>
          </w:p>
          <w:p w:rsidR="004852E5" w:rsidRPr="00FF0043" w:rsidRDefault="00A17DB3" w:rsidP="004852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world issues</w:t>
            </w:r>
          </w:p>
          <w:p w:rsidR="004852E5" w:rsidRPr="00FF0043" w:rsidRDefault="00A17DB3" w:rsidP="004852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hyperlink r:id="rId7" w:anchor="option-show" w:tooltip="applicable to the universe, or all of human life" w:history="1">
              <w:r w:rsidRPr="00FF0043">
                <w:rPr>
                  <w:rStyle w:val="Hyperlink"/>
                  <w:rFonts w:ascii="Times New Roman" w:hAnsi="Times New Roman" w:cs="Times New Roman"/>
                  <w:b/>
                  <w:color w:val="FFFFFF"/>
                  <w:sz w:val="20"/>
                  <w:szCs w:val="20"/>
                </w:rPr>
                <w:t>who’s</w:t>
              </w:r>
            </w:hyperlink>
            <w:r w:rsidRPr="00FF0043">
              <w:rPr>
                <w:rStyle w:val="Hyperlink"/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affected?</w:t>
            </w:r>
          </w:p>
          <w:p w:rsidR="004852E5" w:rsidRPr="00FF0043" w:rsidRDefault="00A17DB3" w:rsidP="004852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theme </w:t>
            </w:r>
            <w:r w:rsidRPr="00FF004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statement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197" w:rsidRPr="00FF0043" w:rsidRDefault="00A17DB3" w:rsidP="00805197">
            <w:pPr>
              <w:spacing w:before="100" w:beforeAutospacing="1" w:after="100" w:afterAutospacing="1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FF0043">
              <w:rPr>
                <w:rStyle w:val="Emphasis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State </w:t>
            </w:r>
            <w:r w:rsidR="005F03B3" w:rsidRPr="00FF0043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  <w:t>this image’s theme (it</w:t>
            </w:r>
            <w:r w:rsidRPr="00FF0043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  <w:t xml:space="preserve">s key message about life or human nature) in one sentence. </w:t>
            </w:r>
            <w:r w:rsidRPr="00FF0043">
              <w:rPr>
                <w:rStyle w:val="Emphasis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Explore </w:t>
            </w:r>
            <w:r w:rsidRPr="00FF0043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  <w:t>the relevance of the text to society or to the world and the importance of these issues to all people.</w:t>
            </w:r>
          </w:p>
          <w:p w:rsidR="00805197" w:rsidRPr="00FF0043" w:rsidRDefault="00A17DB3" w:rsidP="00805197">
            <w:pPr>
              <w:spacing w:before="100" w:beforeAutospacing="1" w:after="100" w:afterAutospacing="1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805197" w:rsidRPr="00FF0043" w:rsidRDefault="00A17DB3" w:rsidP="00805197">
            <w:pPr>
              <w:spacing w:before="100" w:beforeAutospacing="1" w:after="100" w:afterAutospacing="1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bookmarkStart w:id="0" w:name="_GoBack"/>
            <w:bookmarkEnd w:id="0"/>
          </w:p>
          <w:p w:rsidR="00A35969" w:rsidRPr="00FF0043" w:rsidRDefault="00A17DB3" w:rsidP="00805197">
            <w:pPr>
              <w:spacing w:before="100" w:beforeAutospacing="1" w:after="100" w:afterAutospacing="1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A35969" w:rsidRPr="00FF0043" w:rsidRDefault="00A17DB3" w:rsidP="00805197">
            <w:pPr>
              <w:spacing w:before="100" w:beforeAutospacing="1" w:after="100" w:afterAutospacing="1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4852E5" w:rsidRPr="00FF0043" w:rsidRDefault="00A17DB3" w:rsidP="009A069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2E5" w:rsidRPr="00FF0043" w:rsidRDefault="00A17DB3">
      <w:pPr>
        <w:rPr>
          <w:rFonts w:ascii="Times New Roman" w:hAnsi="Times New Roman" w:cs="Times New Roman"/>
          <w:sz w:val="20"/>
          <w:szCs w:val="20"/>
        </w:rPr>
      </w:pPr>
    </w:p>
    <w:sectPr w:rsidR="004852E5" w:rsidRPr="00FF0043" w:rsidSect="00933587">
      <w:pgSz w:w="12240" w:h="15840"/>
      <w:pgMar w:top="73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B3" w:rsidRDefault="00A17DB3" w:rsidP="00BC3A60">
      <w:pPr>
        <w:spacing w:after="0" w:line="240" w:lineRule="auto"/>
      </w:pPr>
      <w:r>
        <w:separator/>
      </w:r>
    </w:p>
  </w:endnote>
  <w:endnote w:type="continuationSeparator" w:id="0">
    <w:p w:rsidR="00A17DB3" w:rsidRDefault="00A17DB3" w:rsidP="00BC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B3" w:rsidRDefault="00A17DB3" w:rsidP="00BC3A60">
      <w:pPr>
        <w:spacing w:after="0" w:line="240" w:lineRule="auto"/>
      </w:pPr>
      <w:r>
        <w:separator/>
      </w:r>
    </w:p>
  </w:footnote>
  <w:footnote w:type="continuationSeparator" w:id="0">
    <w:p w:rsidR="00A17DB3" w:rsidRDefault="00A17DB3" w:rsidP="00BC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716"/>
    <w:multiLevelType w:val="hybridMultilevel"/>
    <w:tmpl w:val="0672C3CC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82E"/>
    <w:multiLevelType w:val="hybridMultilevel"/>
    <w:tmpl w:val="B43844F4"/>
    <w:lvl w:ilvl="0" w:tplc="9594F9F4">
      <w:start w:val="1"/>
      <w:numFmt w:val="decimal"/>
      <w:lvlText w:val="%1."/>
      <w:lvlJc w:val="left"/>
      <w:pPr>
        <w:ind w:left="720" w:hanging="360"/>
      </w:pPr>
    </w:lvl>
    <w:lvl w:ilvl="1" w:tplc="D02E0390">
      <w:start w:val="1"/>
      <w:numFmt w:val="decimal"/>
      <w:lvlText w:val="%2."/>
      <w:lvlJc w:val="left"/>
      <w:pPr>
        <w:ind w:left="1440" w:hanging="1080"/>
      </w:pPr>
    </w:lvl>
    <w:lvl w:ilvl="2" w:tplc="F1303D82">
      <w:start w:val="1"/>
      <w:numFmt w:val="decimal"/>
      <w:lvlText w:val="%3."/>
      <w:lvlJc w:val="left"/>
      <w:pPr>
        <w:ind w:left="2160" w:hanging="1980"/>
      </w:pPr>
    </w:lvl>
    <w:lvl w:ilvl="3" w:tplc="189C625E">
      <w:start w:val="1"/>
      <w:numFmt w:val="decimal"/>
      <w:lvlText w:val="%4."/>
      <w:lvlJc w:val="left"/>
      <w:pPr>
        <w:ind w:left="2880" w:hanging="2520"/>
      </w:pPr>
    </w:lvl>
    <w:lvl w:ilvl="4" w:tplc="0F7A18DE">
      <w:start w:val="1"/>
      <w:numFmt w:val="decimal"/>
      <w:lvlText w:val="%5."/>
      <w:lvlJc w:val="left"/>
      <w:pPr>
        <w:ind w:left="3600" w:hanging="3240"/>
      </w:pPr>
    </w:lvl>
    <w:lvl w:ilvl="5" w:tplc="514C4044">
      <w:start w:val="1"/>
      <w:numFmt w:val="decimal"/>
      <w:lvlText w:val="%6."/>
      <w:lvlJc w:val="left"/>
      <w:pPr>
        <w:ind w:left="4320" w:hanging="4140"/>
      </w:pPr>
    </w:lvl>
    <w:lvl w:ilvl="6" w:tplc="010EC334">
      <w:start w:val="1"/>
      <w:numFmt w:val="decimal"/>
      <w:lvlText w:val="%7."/>
      <w:lvlJc w:val="left"/>
      <w:pPr>
        <w:ind w:left="5040" w:hanging="4680"/>
      </w:pPr>
    </w:lvl>
    <w:lvl w:ilvl="7" w:tplc="565A3302">
      <w:start w:val="1"/>
      <w:numFmt w:val="decimal"/>
      <w:lvlText w:val="%8."/>
      <w:lvlJc w:val="left"/>
      <w:pPr>
        <w:ind w:left="5760" w:hanging="5400"/>
      </w:pPr>
    </w:lvl>
    <w:lvl w:ilvl="8" w:tplc="5066C600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155F1B2A"/>
    <w:multiLevelType w:val="hybridMultilevel"/>
    <w:tmpl w:val="97287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816"/>
    <w:multiLevelType w:val="hybridMultilevel"/>
    <w:tmpl w:val="9098C1BA"/>
    <w:lvl w:ilvl="0" w:tplc="DD800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B0D0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9B270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A02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38D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DA4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665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282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D08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31C5E"/>
    <w:multiLevelType w:val="hybridMultilevel"/>
    <w:tmpl w:val="07407A98"/>
    <w:lvl w:ilvl="0" w:tplc="FFB8D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541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06F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529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B08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5A5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964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E8CB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46D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7174E"/>
    <w:multiLevelType w:val="hybridMultilevel"/>
    <w:tmpl w:val="72AA7F10"/>
    <w:lvl w:ilvl="0" w:tplc="45D45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BA1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07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B0C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CE6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708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26C6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182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D21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B3"/>
    <w:rsid w:val="005F03B3"/>
    <w:rsid w:val="00A17DB3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B1EA"/>
  <w15:docId w15:val="{B328C6F6-F260-4475-B862-673A1FE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A8"/>
    <w:rPr>
      <w:rFonts w:ascii="Cambria" w:hAnsi="Cambr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2A8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E152A8"/>
    <w:pPr>
      <w:ind w:left="720"/>
      <w:contextualSpacing/>
    </w:pPr>
  </w:style>
  <w:style w:type="table" w:styleId="TableGrid">
    <w:name w:val="Table Grid"/>
    <w:basedOn w:val="TableNormal"/>
    <w:uiPriority w:val="59"/>
    <w:rsid w:val="00E1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6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60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4852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852E5"/>
  </w:style>
  <w:style w:type="paragraph" w:customStyle="1" w:styleId="boldwhite">
    <w:name w:val="boldwhite"/>
    <w:basedOn w:val="Normal"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aliases w:val="TeacherFont,Extra!"/>
    <w:basedOn w:val="DefaultParagraphFont"/>
    <w:uiPriority w:val="20"/>
    <w:qFormat/>
    <w:rsid w:val="004852E5"/>
    <w:rPr>
      <w:i/>
      <w:i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2l.adlc.ca/content/enforced/87973-ELA2104-5c-01Jun14/m01/m01-02-08.html?d2lSessionVal=uerox2VlYeMHqnIUg8oqI1kdo&amp;ou=87973&amp;d2l_body_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Catherine Euston</cp:lastModifiedBy>
  <cp:revision>3</cp:revision>
  <dcterms:created xsi:type="dcterms:W3CDTF">2019-10-21T19:51:00Z</dcterms:created>
  <dcterms:modified xsi:type="dcterms:W3CDTF">2019-10-21T19:53:00Z</dcterms:modified>
</cp:coreProperties>
</file>