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3B60" w:rsidRDefault="00712501">
      <w:pPr>
        <w:pStyle w:val="Heading2"/>
        <w:rPr>
          <w:rFonts w:ascii="Arial" w:eastAsia="Arial" w:hAnsi="Arial" w:cs="Arial"/>
          <w:color w:val="FF0000"/>
        </w:rPr>
      </w:pPr>
      <w:bookmarkStart w:id="0" w:name="_y6lwi79hz24l" w:colFirst="0" w:colLast="0"/>
      <w:bookmarkStart w:id="1" w:name="_GoBack"/>
      <w:bookmarkEnd w:id="0"/>
      <w:bookmarkEnd w:id="1"/>
      <w:r>
        <w:rPr>
          <w:rFonts w:ascii="Arial" w:eastAsia="Arial" w:hAnsi="Arial" w:cs="Arial"/>
          <w:color w:val="88BC08"/>
        </w:rPr>
        <w:t xml:space="preserve">1.2 Using Reading Strategies      </w:t>
      </w:r>
      <w:r>
        <w:rPr>
          <w:rFonts w:ascii="Arial" w:eastAsia="Arial" w:hAnsi="Arial" w:cs="Arial"/>
          <w:color w:val="FF0000"/>
        </w:rPr>
        <w:t>/30</w:t>
      </w:r>
    </w:p>
    <w:p w:rsidR="001A3B60" w:rsidRDefault="00712501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Instructions:</w:t>
      </w:r>
      <w:r>
        <w:rPr>
          <w:rFonts w:ascii="Arial" w:eastAsia="Arial" w:hAnsi="Arial" w:cs="Arial"/>
        </w:rPr>
        <w:t xml:space="preserve"> Complete this chart to use and reflect on your reading strategies while </w:t>
      </w:r>
      <w:proofErr w:type="gramStart"/>
      <w:r>
        <w:rPr>
          <w:rFonts w:ascii="Arial" w:eastAsia="Arial" w:hAnsi="Arial" w:cs="Arial"/>
        </w:rPr>
        <w:t>reading</w:t>
      </w:r>
      <w:proofErr w:type="gramEnd"/>
      <w:r>
        <w:rPr>
          <w:rFonts w:ascii="Arial" w:eastAsia="Arial" w:hAnsi="Arial" w:cs="Arial"/>
        </w:rPr>
        <w:t xml:space="preserve"> “My body is my business,” by Sultana </w:t>
      </w:r>
      <w:proofErr w:type="spellStart"/>
      <w:r>
        <w:rPr>
          <w:rFonts w:ascii="Arial" w:eastAsia="Arial" w:hAnsi="Arial" w:cs="Arial"/>
        </w:rPr>
        <w:t>Yusufali</w:t>
      </w:r>
      <w:proofErr w:type="spellEnd"/>
      <w:r>
        <w:rPr>
          <w:rFonts w:ascii="Arial" w:eastAsia="Arial" w:hAnsi="Arial" w:cs="Arial"/>
        </w:rPr>
        <w:t>. Answer in complete sentences unless asked to list. Remember that all quotations require both opening and closing quotation marks</w:t>
      </w:r>
      <w:r>
        <w:rPr>
          <w:rFonts w:ascii="Arial" w:eastAsia="Arial" w:hAnsi="Arial" w:cs="Arial"/>
        </w:rPr>
        <w:t xml:space="preserve">, to show they are not your own </w:t>
      </w:r>
      <w:proofErr w:type="spellStart"/>
      <w:r>
        <w:rPr>
          <w:rFonts w:ascii="Arial" w:eastAsia="Arial" w:hAnsi="Arial" w:cs="Arial"/>
        </w:rPr>
        <w:t>words.</w:t>
      </w:r>
      <w:r>
        <w:rPr>
          <w:rFonts w:ascii="Arial" w:eastAsia="Arial" w:hAnsi="Arial" w:cs="Arial"/>
          <w:b/>
        </w:rPr>
        <w:t>You</w:t>
      </w:r>
      <w:proofErr w:type="spellEnd"/>
      <w:r>
        <w:rPr>
          <w:rFonts w:ascii="Arial" w:eastAsia="Arial" w:hAnsi="Arial" w:cs="Arial"/>
          <w:b/>
        </w:rPr>
        <w:t xml:space="preserve"> also need to give the page numbers of all quotes from assigned texts in brackets following the quote</w:t>
      </w:r>
      <w:r>
        <w:rPr>
          <w:rFonts w:ascii="Arial" w:eastAsia="Arial" w:hAnsi="Arial" w:cs="Arial"/>
        </w:rPr>
        <w:t>.</w:t>
      </w:r>
    </w:p>
    <w:tbl>
      <w:tblPr>
        <w:tblStyle w:val="a"/>
        <w:tblW w:w="10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8910"/>
      </w:tblGrid>
      <w:tr w:rsidR="001A3B60">
        <w:trPr>
          <w:trHeight w:val="1060"/>
        </w:trPr>
        <w:tc>
          <w:tcPr>
            <w:tcW w:w="10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Apply Your Reading Strategies</w:t>
            </w:r>
          </w:p>
          <w:p w:rsidR="001A3B60" w:rsidRDefault="00712501">
            <w:pPr>
              <w:spacing w:after="0"/>
              <w:jc w:val="center"/>
              <w:rPr>
                <w:rFonts w:ascii="Arial" w:eastAsia="Arial" w:hAnsi="Arial" w:cs="Arial"/>
                <w:b/>
                <w:color w:val="FFFFFF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FFFFFF"/>
              </w:rPr>
              <w:t>to</w:t>
            </w:r>
            <w:proofErr w:type="gramEnd"/>
            <w:r>
              <w:rPr>
                <w:rFonts w:ascii="Arial" w:eastAsia="Arial" w:hAnsi="Arial" w:cs="Arial"/>
                <w:b/>
                <w:color w:val="FFFFFF"/>
              </w:rPr>
              <w:t xml:space="preserve"> “My body is my business.”</w:t>
            </w:r>
          </w:p>
        </w:tc>
      </w:tr>
      <w:tr w:rsidR="001A3B60">
        <w:trPr>
          <w:trHeight w:val="328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Before Reading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/6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Read the “Before Reading” Section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of the Notes, and answer the following questions: (There are no right and wrong answers for pre-reading questions, as they are just to get you thinking about the text you will be reading, but all </w:t>
            </w:r>
            <w:proofErr w:type="gramStart"/>
            <w:r>
              <w:rPr>
                <w:rFonts w:ascii="Arial" w:eastAsia="Arial" w:hAnsi="Arial" w:cs="Arial"/>
                <w:b/>
                <w:color w:val="FF0000"/>
              </w:rPr>
              <w:t>must be answered</w:t>
            </w:r>
            <w:proofErr w:type="gramEnd"/>
            <w:r>
              <w:rPr>
                <w:rFonts w:ascii="Arial" w:eastAsia="Arial" w:hAnsi="Arial" w:cs="Arial"/>
                <w:b/>
                <w:color w:val="FF0000"/>
              </w:rPr>
              <w:t xml:space="preserve"> using complete sentences.)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Read and think </w:t>
            </w:r>
            <w:r>
              <w:rPr>
                <w:rFonts w:ascii="Arial" w:eastAsia="Arial" w:hAnsi="Arial" w:cs="Arial"/>
                <w:b/>
              </w:rPr>
              <w:t xml:space="preserve">about the title of the text. What do you think this text will be </w:t>
            </w:r>
            <w:proofErr w:type="gramStart"/>
            <w:r>
              <w:rPr>
                <w:rFonts w:ascii="Arial" w:eastAsia="Arial" w:hAnsi="Arial" w:cs="Arial"/>
                <w:b/>
              </w:rPr>
              <w:t>about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? Make reasonable guesses.  </w:t>
            </w:r>
            <w:r>
              <w:rPr>
                <w:rFonts w:ascii="Arial" w:eastAsia="Arial" w:hAnsi="Arial" w:cs="Arial"/>
                <w:b/>
                <w:color w:val="FF0000"/>
              </w:rPr>
              <w:t>/2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Always view/read all information provided </w:t>
            </w:r>
            <w:r>
              <w:rPr>
                <w:rFonts w:ascii="Arial" w:eastAsia="Arial" w:hAnsi="Arial" w:cs="Arial"/>
                <w:b/>
                <w:color w:val="6AA84F"/>
              </w:rPr>
              <w:t>before</w:t>
            </w:r>
            <w:r>
              <w:rPr>
                <w:rFonts w:ascii="Arial" w:eastAsia="Arial" w:hAnsi="Arial" w:cs="Arial"/>
                <w:b/>
              </w:rPr>
              <w:t xml:space="preserve"> the actual text of a piece, as this information will help you with your understanding of the piece to follow. Describe what you see on the introductory or first page of this text. </w:t>
            </w:r>
            <w:r>
              <w:rPr>
                <w:rFonts w:ascii="Arial" w:eastAsia="Arial" w:hAnsi="Arial" w:cs="Arial"/>
                <w:b/>
                <w:color w:val="FF0000"/>
              </w:rPr>
              <w:t>/2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Based on the given </w:t>
            </w:r>
            <w:r>
              <w:rPr>
                <w:rFonts w:ascii="Arial" w:eastAsia="Arial" w:hAnsi="Arial" w:cs="Arial"/>
                <w:b/>
                <w:color w:val="6AA84F"/>
              </w:rPr>
              <w:t>image only</w:t>
            </w:r>
            <w:r>
              <w:rPr>
                <w:rFonts w:ascii="Arial" w:eastAsia="Arial" w:hAnsi="Arial" w:cs="Arial"/>
                <w:b/>
              </w:rPr>
              <w:t xml:space="preserve">, what do you think this story might be </w:t>
            </w:r>
            <w:proofErr w:type="gramStart"/>
            <w:r>
              <w:rPr>
                <w:rFonts w:ascii="Arial" w:eastAsia="Arial" w:hAnsi="Arial" w:cs="Arial"/>
                <w:b/>
              </w:rPr>
              <w:t>about</w:t>
            </w:r>
            <w:proofErr w:type="gramEnd"/>
            <w:r>
              <w:rPr>
                <w:rFonts w:ascii="Arial" w:eastAsia="Arial" w:hAnsi="Arial" w:cs="Arial"/>
                <w:b/>
              </w:rPr>
              <w:t>?</w:t>
            </w:r>
            <w:r>
              <w:rPr>
                <w:rFonts w:ascii="Arial" w:eastAsia="Arial" w:hAnsi="Arial" w:cs="Arial"/>
                <w:b/>
                <w:color w:val="FF0000"/>
              </w:rPr>
              <w:t xml:space="preserve"> /2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>Now that you have completed this part of the assignment, please read the text and complete the rest of this worksheet.</w:t>
            </w:r>
          </w:p>
        </w:tc>
      </w:tr>
      <w:tr w:rsidR="001A3B60">
        <w:trPr>
          <w:trHeight w:val="440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lastRenderedPageBreak/>
              <w:t>As You Are Reading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/10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As you read, choose 5 high level vocabulary words, and either define them in your own words or provide a synonym to show your understanding. </w:t>
            </w:r>
            <w:r>
              <w:rPr>
                <w:rFonts w:ascii="Arial" w:eastAsia="Arial" w:hAnsi="Arial" w:cs="Arial"/>
                <w:b/>
                <w:color w:val="FF0000"/>
              </w:rPr>
              <w:t>/5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List 5 key ideas presented in this essay:  </w:t>
            </w:r>
            <w:r>
              <w:rPr>
                <w:rFonts w:ascii="Arial" w:eastAsia="Arial" w:hAnsi="Arial" w:cs="Arial"/>
                <w:b/>
                <w:color w:val="FF0000"/>
              </w:rPr>
              <w:t>/5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  <w:tr w:rsidR="001A3B60">
        <w:trPr>
          <w:trHeight w:val="272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lastRenderedPageBreak/>
              <w:t>Reading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Again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/6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1. Choose and quote a line of this essay to prove that Sultana is a young woman who is confident in her choices. </w:t>
            </w:r>
            <w:r>
              <w:rPr>
                <w:rFonts w:ascii="Arial" w:eastAsia="Arial" w:hAnsi="Arial" w:cs="Arial"/>
                <w:b/>
                <w:color w:val="FF0000"/>
              </w:rPr>
              <w:t>/2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2. Sultana uses sarcasm in her essay. Choose and quote a line to show an example of this sarcasm. </w:t>
            </w:r>
            <w:r>
              <w:rPr>
                <w:rFonts w:ascii="Arial" w:eastAsia="Arial" w:hAnsi="Arial" w:cs="Arial"/>
                <w:b/>
                <w:color w:val="FF0000"/>
              </w:rPr>
              <w:t>/2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proofErr w:type="gramStart"/>
            <w:r>
              <w:rPr>
                <w:rFonts w:ascii="Arial" w:eastAsia="Arial" w:hAnsi="Arial" w:cs="Arial"/>
                <w:b/>
              </w:rPr>
              <w:t>3. Quote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the specific line that sta</w:t>
            </w:r>
            <w:r>
              <w:rPr>
                <w:rFonts w:ascii="Arial" w:eastAsia="Arial" w:hAnsi="Arial" w:cs="Arial"/>
                <w:b/>
              </w:rPr>
              <w:t xml:space="preserve">tes from what Sultana believes she has released herself. </w:t>
            </w:r>
            <w:r>
              <w:rPr>
                <w:rFonts w:ascii="Arial" w:eastAsia="Arial" w:hAnsi="Arial" w:cs="Arial"/>
                <w:b/>
                <w:color w:val="FF0000"/>
              </w:rPr>
              <w:t>/2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A3B60">
        <w:trPr>
          <w:trHeight w:val="218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After Reading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/4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Explain a new perspective that has been presented to you in this </w:t>
            </w:r>
            <w:proofErr w:type="gramStart"/>
            <w:r>
              <w:rPr>
                <w:rFonts w:ascii="Arial" w:eastAsia="Arial" w:hAnsi="Arial" w:cs="Arial"/>
                <w:b/>
              </w:rPr>
              <w:t>essay, that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you may not have ever considered before. </w:t>
            </w:r>
            <w:r>
              <w:rPr>
                <w:rFonts w:ascii="Arial" w:eastAsia="Arial" w:hAnsi="Arial" w:cs="Arial"/>
                <w:b/>
                <w:color w:val="FF0000"/>
              </w:rPr>
              <w:t>/2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Review the title of this piece again carefully. How might the intentional use of the incorrect use of capitalization reflect Sultana’s personality?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1A3B60">
        <w:trPr>
          <w:trHeight w:val="5040"/>
        </w:trPr>
        <w:tc>
          <w:tcPr>
            <w:tcW w:w="13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lastRenderedPageBreak/>
              <w:t>Reading Strategies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  <w:i/>
                <w:color w:val="0000FF"/>
              </w:rPr>
            </w:pPr>
            <w:r>
              <w:rPr>
                <w:rFonts w:ascii="Arial" w:eastAsia="Arial" w:hAnsi="Arial" w:cs="Arial"/>
                <w:b/>
                <w:i/>
                <w:color w:val="0000FF"/>
              </w:rPr>
              <w:t>/4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A3B60" w:rsidRDefault="00712501">
            <w:pPr>
              <w:spacing w:after="0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Review the Reading Strategies Notes page.  </w:t>
            </w:r>
          </w:p>
          <w:p w:rsidR="001A3B60" w:rsidRDefault="00712501">
            <w:pP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Give four reading strategies that </w:t>
            </w:r>
            <w:r>
              <w:rPr>
                <w:rFonts w:ascii="Arial" w:eastAsia="Arial" w:hAnsi="Arial" w:cs="Arial"/>
                <w:b/>
              </w:rPr>
              <w:t>you have used effectively as you read this essay and completed this assignment.</w:t>
            </w: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  <w:p w:rsidR="001A3B60" w:rsidRDefault="001A3B60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</w:tr>
    </w:tbl>
    <w:p w:rsidR="001A3B60" w:rsidRDefault="001A3B60">
      <w:pPr>
        <w:rPr>
          <w:rFonts w:ascii="Arial" w:eastAsia="Arial" w:hAnsi="Arial" w:cs="Arial"/>
          <w:b/>
        </w:rPr>
      </w:pPr>
    </w:p>
    <w:p w:rsidR="001A3B60" w:rsidRDefault="001A3B60">
      <w:pPr>
        <w:rPr>
          <w:rFonts w:ascii="Arial" w:eastAsia="Arial" w:hAnsi="Arial" w:cs="Arial"/>
          <w:b/>
        </w:rPr>
      </w:pPr>
    </w:p>
    <w:p w:rsidR="001A3B60" w:rsidRDefault="001A3B60">
      <w:pPr>
        <w:rPr>
          <w:rFonts w:ascii="Arial" w:eastAsia="Arial" w:hAnsi="Arial" w:cs="Arial"/>
        </w:rPr>
      </w:pPr>
    </w:p>
    <w:p w:rsidR="001A3B60" w:rsidRDefault="001A3B60">
      <w:pPr>
        <w:rPr>
          <w:rFonts w:ascii="Arial" w:eastAsia="Arial" w:hAnsi="Arial" w:cs="Arial"/>
        </w:rPr>
      </w:pPr>
    </w:p>
    <w:p w:rsidR="001A3B60" w:rsidRDefault="001A3B60">
      <w:pPr>
        <w:rPr>
          <w:rFonts w:ascii="Arial" w:eastAsia="Arial" w:hAnsi="Arial" w:cs="Arial"/>
        </w:rPr>
      </w:pPr>
    </w:p>
    <w:sectPr w:rsidR="001A3B60">
      <w:footerReference w:type="default" r:id="rId6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501" w:rsidRDefault="00712501">
      <w:pPr>
        <w:spacing w:after="0" w:line="240" w:lineRule="auto"/>
      </w:pPr>
      <w:r>
        <w:separator/>
      </w:r>
    </w:p>
  </w:endnote>
  <w:endnote w:type="continuationSeparator" w:id="0">
    <w:p w:rsidR="00712501" w:rsidRDefault="0071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60" w:rsidRDefault="001A3B6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708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501" w:rsidRDefault="00712501">
      <w:pPr>
        <w:spacing w:after="0" w:line="240" w:lineRule="auto"/>
      </w:pPr>
      <w:r>
        <w:separator/>
      </w:r>
    </w:p>
  </w:footnote>
  <w:footnote w:type="continuationSeparator" w:id="0">
    <w:p w:rsidR="00712501" w:rsidRDefault="007125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B60"/>
    <w:rsid w:val="001A3B60"/>
    <w:rsid w:val="00466089"/>
    <w:rsid w:val="0071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6B64DF-8071-455A-B834-F016E0C7C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CA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Pembina Hills Public Schools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Dennis</dc:creator>
  <cp:lastModifiedBy>Tracy Dennis</cp:lastModifiedBy>
  <cp:revision>2</cp:revision>
  <dcterms:created xsi:type="dcterms:W3CDTF">2020-03-27T05:09:00Z</dcterms:created>
  <dcterms:modified xsi:type="dcterms:W3CDTF">2020-03-27T05:09:00Z</dcterms:modified>
</cp:coreProperties>
</file>