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959B9" w14:textId="77777777" w:rsidR="00616A1D" w:rsidRPr="00616A1D" w:rsidRDefault="00616A1D" w:rsidP="00616A1D">
      <w:pPr>
        <w:shd w:val="clear" w:color="auto" w:fill="EFE8DC"/>
        <w:spacing w:after="0" w:line="240" w:lineRule="auto"/>
        <w:ind w:left="-1361" w:right="397"/>
        <w:jc w:val="center"/>
        <w:rPr>
          <w:rFonts w:ascii="Trebuchet MS" w:eastAsia="Times New Roman" w:hAnsi="Trebuchet MS" w:cs="Times New Roman"/>
          <w:color w:val="273B4A"/>
          <w:lang w:eastAsia="en-CA"/>
        </w:rPr>
      </w:pPr>
      <w:r w:rsidRPr="00616A1D">
        <w:rPr>
          <w:rFonts w:ascii="Trebuchet MS" w:eastAsia="Times New Roman" w:hAnsi="Trebuchet MS" w:cs="Times New Roman"/>
          <w:b/>
          <w:bCs/>
          <w:color w:val="273B4A"/>
          <w:sz w:val="24"/>
          <w:szCs w:val="24"/>
          <w:lang w:eastAsia="en-CA"/>
        </w:rPr>
        <w:t>Below you will find detailed information on each of the units for the course. </w:t>
      </w:r>
      <w:bookmarkStart w:id="0" w:name="_GoBack"/>
      <w:bookmarkEnd w:id="0"/>
      <w:r w:rsidRPr="00616A1D">
        <w:rPr>
          <w:rFonts w:ascii="Trebuchet MS" w:eastAsia="Times New Roman" w:hAnsi="Trebuchet MS" w:cs="Times New Roman"/>
          <w:b/>
          <w:bCs/>
          <w:color w:val="273B4A"/>
          <w:sz w:val="24"/>
          <w:szCs w:val="24"/>
          <w:lang w:eastAsia="en-CA"/>
        </w:rPr>
        <w:br/>
        <w:t>The information in each file is taken from the curriculum document from Alberta Education.</w:t>
      </w:r>
      <w:r w:rsidRPr="00616A1D">
        <w:rPr>
          <w:rFonts w:ascii="Trebuchet MS" w:eastAsia="Times New Roman" w:hAnsi="Trebuchet MS" w:cs="Times New Roman"/>
          <w:b/>
          <w:bCs/>
          <w:color w:val="273B4A"/>
          <w:sz w:val="24"/>
          <w:szCs w:val="24"/>
          <w:lang w:eastAsia="en-CA"/>
        </w:rPr>
        <w:br/>
        <w:t>The information on the right hand side is feedback from the diploma exams of the past few years.</w:t>
      </w:r>
    </w:p>
    <w:tbl>
      <w:tblPr>
        <w:tblW w:w="14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6"/>
        <w:gridCol w:w="8784"/>
      </w:tblGrid>
      <w:tr w:rsidR="00616A1D" w:rsidRPr="00616A1D" w14:paraId="22E0B10E" w14:textId="77777777" w:rsidTr="00616A1D">
        <w:tc>
          <w:tcPr>
            <w:tcW w:w="475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DC40891" w14:textId="77777777" w:rsidR="00616A1D" w:rsidRPr="00616A1D" w:rsidRDefault="00616A1D" w:rsidP="00616A1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B4A"/>
                <w:sz w:val="30"/>
                <w:szCs w:val="30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b/>
                <w:bCs/>
                <w:color w:val="3333FF"/>
                <w:sz w:val="30"/>
                <w:szCs w:val="30"/>
                <w:lang w:eastAsia="en-CA"/>
              </w:rPr>
              <w:t>Unit A (Modules 1 and 2)</w:t>
            </w:r>
          </w:p>
          <w:p w14:paraId="24896DFB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B4A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color w:val="273B4A"/>
                <w:sz w:val="24"/>
                <w:szCs w:val="24"/>
                <w:lang w:eastAsia="en-CA"/>
              </w:rPr>
              <w:t>This unit is worth </w:t>
            </w:r>
            <w:r w:rsidRPr="00616A1D">
              <w:rPr>
                <w:rFonts w:ascii="Times New Roman" w:eastAsia="Times New Roman" w:hAnsi="Times New Roman" w:cs="Times New Roman"/>
                <w:b/>
                <w:bCs/>
                <w:color w:val="273B4A"/>
                <w:sz w:val="24"/>
                <w:szCs w:val="24"/>
                <w:lang w:eastAsia="en-CA"/>
              </w:rPr>
              <w:t>20-25%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sz w:val="24"/>
                <w:szCs w:val="24"/>
                <w:lang w:eastAsia="en-CA"/>
              </w:rPr>
              <w:t> of the exam.</w:t>
            </w:r>
          </w:p>
          <w:p w14:paraId="474CFEB7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noProof/>
                <w:color w:val="4984C9"/>
                <w:sz w:val="24"/>
                <w:szCs w:val="24"/>
                <w:lang w:eastAsia="en-CA"/>
              </w:rPr>
              <w:drawing>
                <wp:inline distT="0" distB="0" distL="0" distR="0" wp14:anchorId="122DE943" wp14:editId="065A78B3">
                  <wp:extent cx="342900" cy="342900"/>
                  <wp:effectExtent l="0" t="0" r="0" b="0"/>
                  <wp:docPr id="4" name="Picture 4" descr="http://www.weebly.com/weebly/images/file_icons/pdf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ebly.com/weebly/images/file_icons/pdf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"/>
            </w:tblGrid>
            <w:tr w:rsidR="00616A1D" w:rsidRPr="00616A1D" w14:paraId="471B02D7" w14:textId="77777777" w:rsidTr="00616A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D485B9" w14:textId="77777777" w:rsidR="00616A1D" w:rsidRPr="00616A1D" w:rsidRDefault="00616A1D" w:rsidP="00616A1D">
                  <w:pPr>
                    <w:spacing w:after="0" w:line="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en-CA"/>
                    </w:rPr>
                  </w:pPr>
                  <w:r w:rsidRPr="00616A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en-CA"/>
                    </w:rPr>
                    <w:t>unit_a.pdf</w:t>
                  </w:r>
                </w:p>
              </w:tc>
            </w:tr>
          </w:tbl>
          <w:p w14:paraId="7248DD07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7" w:history="1">
              <w:r w:rsidRPr="00616A1D">
                <w:rPr>
                  <w:rFonts w:ascii="Times New Roman" w:eastAsia="Times New Roman" w:hAnsi="Times New Roman" w:cs="Times New Roman"/>
                  <w:b/>
                  <w:bCs/>
                  <w:color w:val="4984C9"/>
                  <w:sz w:val="24"/>
                  <w:szCs w:val="24"/>
                  <w:u w:val="single"/>
                  <w:lang w:eastAsia="en-CA"/>
                </w:rPr>
                <w:t>Download File</w:t>
              </w:r>
            </w:hyperlink>
          </w:p>
          <w:p w14:paraId="70543719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pict w14:anchorId="57D517D5">
                <v:rect id="_x0000_i1050" style="width:237.75pt;height:1.5pt" o:hrpct="0" o:hralign="center" o:hrstd="t" o:hr="t" fillcolor="#a0a0a0" stroked="f"/>
              </w:pict>
            </w:r>
          </w:p>
        </w:tc>
        <w:tc>
          <w:tcPr>
            <w:tcW w:w="850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D2A71A" w14:textId="77777777" w:rsidR="00616A1D" w:rsidRPr="00616A1D" w:rsidRDefault="00616A1D" w:rsidP="00616A1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B4A"/>
                <w:sz w:val="30"/>
                <w:szCs w:val="30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b/>
                <w:bCs/>
                <w:color w:val="3333FF"/>
                <w:sz w:val="30"/>
                <w:szCs w:val="30"/>
                <w:lang w:eastAsia="en-CA"/>
              </w:rPr>
              <w:t>Nervous and Endocrine Systems</w:t>
            </w:r>
          </w:p>
          <w:p w14:paraId="5161755F" w14:textId="77777777" w:rsidR="00616A1D" w:rsidRPr="00616A1D" w:rsidRDefault="00616A1D" w:rsidP="00616A1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73B4A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b/>
                <w:bCs/>
                <w:color w:val="273B4A"/>
                <w:u w:val="single"/>
                <w:lang w:eastAsia="en-CA"/>
              </w:rPr>
              <w:t>THINGS DONE WELL: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understanding of the function of the myelin sheath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action potential process and how certain substances change the behaviour of ions in the membrane of the neuron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identifying parts of the brain and their functions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generally good knowledge on the structures of the eye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identifying the glands that secrete the different hormones and the physiological effects of those hormones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</w:r>
            <w:r w:rsidRPr="00616A1D">
              <w:rPr>
                <w:rFonts w:ascii="Times New Roman" w:eastAsia="Times New Roman" w:hAnsi="Times New Roman" w:cs="Times New Roman"/>
                <w:b/>
                <w:bCs/>
                <w:color w:val="273B4A"/>
                <w:u w:val="single"/>
                <w:lang w:eastAsia="en-CA"/>
              </w:rPr>
              <w:t>THINGS TO WORK ON: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u w:val="single"/>
                <w:lang w:eastAsia="en-CA"/>
              </w:rPr>
              <w:br/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t>- differentiating between sensory neuron and motor neuron in a reflex arc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locating sensory receptors in a diagram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applying knowledge of reflex arcs to a specific example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 xml:space="preserve">- many students have difficulty identifying the </w:t>
            </w:r>
            <w:proofErr w:type="spellStart"/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t>choriod</w:t>
            </w:r>
            <w:proofErr w:type="spellEnd"/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t xml:space="preserve"> layer of the eye and structures at the front of the eye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function of the cornea vs. function of the lens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sequences of structures of the ear that a sound wave passes through, especially middle and inner ear (note: Eustachian tube and semicircular canals are 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u w:val="single"/>
                <w:lang w:eastAsia="en-CA"/>
              </w:rPr>
              <w:t>not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t> involved in hearing)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negative feedback loop to control hormone levels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most common confusion for hormones is the functions of ACTH and cortisol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be sure to know "how" insulin affects blood glucose levels, either increase or decrease depending if insulin is absent or present, respectively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the order in which the pituitary hormone and the hormone from its target gland exert functions</w:t>
            </w:r>
          </w:p>
        </w:tc>
      </w:tr>
    </w:tbl>
    <w:p w14:paraId="20F51D03" w14:textId="77777777" w:rsidR="00616A1D" w:rsidRPr="00616A1D" w:rsidRDefault="00616A1D" w:rsidP="00616A1D">
      <w:pPr>
        <w:shd w:val="clear" w:color="auto" w:fill="EFE8DC"/>
        <w:spacing w:after="0" w:line="240" w:lineRule="auto"/>
        <w:rPr>
          <w:rFonts w:ascii="Trebuchet MS" w:eastAsia="Times New Roman" w:hAnsi="Trebuchet MS" w:cs="Times New Roman"/>
          <w:color w:val="273B4A"/>
          <w:sz w:val="18"/>
          <w:szCs w:val="18"/>
          <w:lang w:eastAsia="en-CA"/>
        </w:rPr>
      </w:pPr>
      <w:r w:rsidRPr="00616A1D">
        <w:rPr>
          <w:rFonts w:ascii="Trebuchet MS" w:eastAsia="Times New Roman" w:hAnsi="Trebuchet MS" w:cs="Times New Roman"/>
          <w:color w:val="273B4A"/>
          <w:sz w:val="18"/>
          <w:szCs w:val="18"/>
          <w:lang w:eastAsia="en-CA"/>
        </w:rPr>
        <w:pict w14:anchorId="2500380C">
          <v:rect id="_x0000_i1027" style="width:685.5pt;height:.75pt" o:hrpct="0" o:hralign="center" o:hrstd="t" o:hr="t" fillcolor="#a0a0a0" stroked="f"/>
        </w:pict>
      </w:r>
    </w:p>
    <w:tbl>
      <w:tblPr>
        <w:tblW w:w="14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1"/>
        <w:gridCol w:w="8769"/>
      </w:tblGrid>
      <w:tr w:rsidR="00616A1D" w:rsidRPr="00616A1D" w14:paraId="7C38222D" w14:textId="77777777" w:rsidTr="00616A1D">
        <w:tc>
          <w:tcPr>
            <w:tcW w:w="477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66B508" w14:textId="77777777" w:rsidR="00616A1D" w:rsidRPr="00616A1D" w:rsidRDefault="00616A1D" w:rsidP="00616A1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B4A"/>
                <w:sz w:val="30"/>
                <w:szCs w:val="30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b/>
                <w:bCs/>
                <w:color w:val="3333FF"/>
                <w:sz w:val="30"/>
                <w:szCs w:val="30"/>
                <w:lang w:eastAsia="en-CA"/>
              </w:rPr>
              <w:t>Unit B (Modules 3 and 4)</w:t>
            </w:r>
          </w:p>
          <w:p w14:paraId="5D3BF5E8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B4A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color w:val="273B4A"/>
                <w:sz w:val="24"/>
                <w:szCs w:val="24"/>
                <w:lang w:eastAsia="en-CA"/>
              </w:rPr>
              <w:t>This unit is worth </w:t>
            </w:r>
            <w:r w:rsidRPr="00616A1D">
              <w:rPr>
                <w:rFonts w:ascii="Times New Roman" w:eastAsia="Times New Roman" w:hAnsi="Times New Roman" w:cs="Times New Roman"/>
                <w:b/>
                <w:bCs/>
                <w:color w:val="273B4A"/>
                <w:sz w:val="24"/>
                <w:szCs w:val="24"/>
                <w:lang w:eastAsia="en-CA"/>
              </w:rPr>
              <w:t>15-25%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sz w:val="24"/>
                <w:szCs w:val="24"/>
                <w:lang w:eastAsia="en-CA"/>
              </w:rPr>
              <w:t> of the exam. 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sz w:val="24"/>
                <w:szCs w:val="24"/>
                <w:lang w:eastAsia="en-CA"/>
              </w:rPr>
              <w:br/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t>(Separated into 10-15% on Module 3 and 5-10% on Module 4)</w:t>
            </w:r>
          </w:p>
          <w:p w14:paraId="6055A4D0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noProof/>
                <w:color w:val="4984C9"/>
                <w:sz w:val="24"/>
                <w:szCs w:val="24"/>
                <w:lang w:eastAsia="en-CA"/>
              </w:rPr>
              <w:drawing>
                <wp:inline distT="0" distB="0" distL="0" distR="0" wp14:anchorId="1472ECE5" wp14:editId="17F6BA14">
                  <wp:extent cx="342900" cy="342900"/>
                  <wp:effectExtent l="0" t="0" r="0" b="0"/>
                  <wp:docPr id="3" name="Picture 3" descr="http://www.weebly.com/weebly/images/file_icons/pdf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weebly.com/weebly/images/file_icons/pdf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0"/>
            </w:tblGrid>
            <w:tr w:rsidR="00616A1D" w:rsidRPr="00616A1D" w14:paraId="3F90CEE8" w14:textId="77777777" w:rsidTr="00616A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A0B01B" w14:textId="77777777" w:rsidR="00616A1D" w:rsidRPr="00616A1D" w:rsidRDefault="00616A1D" w:rsidP="00616A1D">
                  <w:pPr>
                    <w:spacing w:after="0" w:line="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en-CA"/>
                    </w:rPr>
                  </w:pPr>
                  <w:r w:rsidRPr="00616A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en-CA"/>
                    </w:rPr>
                    <w:t>unit_b.pdf</w:t>
                  </w:r>
                </w:p>
              </w:tc>
            </w:tr>
          </w:tbl>
          <w:p w14:paraId="315E5E9E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9" w:history="1">
              <w:r w:rsidRPr="00616A1D">
                <w:rPr>
                  <w:rFonts w:ascii="Times New Roman" w:eastAsia="Times New Roman" w:hAnsi="Times New Roman" w:cs="Times New Roman"/>
                  <w:b/>
                  <w:bCs/>
                  <w:color w:val="4984C9"/>
                  <w:sz w:val="24"/>
                  <w:szCs w:val="24"/>
                  <w:u w:val="single"/>
                  <w:lang w:eastAsia="en-CA"/>
                </w:rPr>
                <w:t>Download File</w:t>
              </w:r>
            </w:hyperlink>
          </w:p>
          <w:p w14:paraId="0C60A00E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pict w14:anchorId="6F4D3D2C">
                <v:rect id="_x0000_i1029" style="width:238.5pt;height:1.5pt" o:hrpct="0" o:hralign="center" o:hrstd="t" o:hr="t" fillcolor="#a0a0a0" stroked="f"/>
              </w:pict>
            </w:r>
          </w:p>
        </w:tc>
        <w:tc>
          <w:tcPr>
            <w:tcW w:w="849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1E8E597" w14:textId="77777777" w:rsidR="00616A1D" w:rsidRPr="00616A1D" w:rsidRDefault="00616A1D" w:rsidP="00616A1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B4A"/>
                <w:sz w:val="30"/>
                <w:szCs w:val="30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b/>
                <w:bCs/>
                <w:color w:val="3333FF"/>
                <w:sz w:val="30"/>
                <w:szCs w:val="30"/>
                <w:lang w:eastAsia="en-CA"/>
              </w:rPr>
              <w:t>Reproduction and Development</w:t>
            </w:r>
          </w:p>
          <w:p w14:paraId="0EBCCE04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B4A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b/>
                <w:bCs/>
                <w:color w:val="273B4A"/>
                <w:u w:val="single"/>
                <w:lang w:eastAsia="en-CA"/>
              </w:rPr>
              <w:t>THINGS DONE WELL: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identifying structures of the female reproductive system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the roles of estrogen and testosterone in the development of secondary sex characteristics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matching statements describing the main events that occur during human development with the time of development during which the event occurs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identifying structures of a developing fetus on a diagram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sequencing of events with associated with fertilization and development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</w:r>
            <w:r w:rsidRPr="00616A1D">
              <w:rPr>
                <w:rFonts w:ascii="Times New Roman" w:eastAsia="Times New Roman" w:hAnsi="Times New Roman" w:cs="Times New Roman"/>
                <w:b/>
                <w:bCs/>
                <w:color w:val="273B4A"/>
                <w:u w:val="single"/>
                <w:lang w:eastAsia="en-CA"/>
              </w:rPr>
              <w:t>THINGS TO WORK ON: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the functions of the female reproductive hormones and the glands that secrete these hormones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identifying structures of the male reproductive system on a diagram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 xml:space="preserve">- differentiating sperm from supporting structures in a diagram (most common mistake is to confuse </w:t>
            </w:r>
            <w:proofErr w:type="spellStart"/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t>Sertoli</w:t>
            </w:r>
            <w:proofErr w:type="spellEnd"/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t xml:space="preserve"> cells with interstitial cells)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differentiate the functions of FSH, LH, estrogen, and testosterone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know the feedback loop for control of FSH and LH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remember that decreased secretion of GnRH leads to decreased secretion of FSH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identifying the functions of different hormones secreted around the time of parturition</w:t>
            </w:r>
          </w:p>
        </w:tc>
      </w:tr>
    </w:tbl>
    <w:p w14:paraId="1084176E" w14:textId="77777777" w:rsidR="00616A1D" w:rsidRPr="00616A1D" w:rsidRDefault="00616A1D" w:rsidP="00616A1D">
      <w:pPr>
        <w:shd w:val="clear" w:color="auto" w:fill="EFE8DC"/>
        <w:spacing w:after="0" w:line="240" w:lineRule="auto"/>
        <w:rPr>
          <w:rFonts w:ascii="Trebuchet MS" w:eastAsia="Times New Roman" w:hAnsi="Trebuchet MS" w:cs="Times New Roman"/>
          <w:color w:val="273B4A"/>
          <w:sz w:val="18"/>
          <w:szCs w:val="18"/>
          <w:lang w:eastAsia="en-CA"/>
        </w:rPr>
      </w:pPr>
      <w:r w:rsidRPr="00616A1D">
        <w:rPr>
          <w:rFonts w:ascii="Trebuchet MS" w:eastAsia="Times New Roman" w:hAnsi="Trebuchet MS" w:cs="Times New Roman"/>
          <w:color w:val="273B4A"/>
          <w:sz w:val="18"/>
          <w:szCs w:val="18"/>
          <w:lang w:eastAsia="en-CA"/>
        </w:rPr>
        <w:pict w14:anchorId="0130ABC3">
          <v:rect id="_x0000_i1030" style="width:685.5pt;height:.75pt" o:hrpct="0" o:hralign="center" o:hrstd="t" o:hr="t" fillcolor="#a0a0a0" stroked="f"/>
        </w:pict>
      </w:r>
    </w:p>
    <w:tbl>
      <w:tblPr>
        <w:tblW w:w="138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2"/>
        <w:gridCol w:w="8598"/>
      </w:tblGrid>
      <w:tr w:rsidR="00616A1D" w:rsidRPr="00616A1D" w14:paraId="18E1B960" w14:textId="77777777" w:rsidTr="00616A1D">
        <w:tc>
          <w:tcPr>
            <w:tcW w:w="505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838CD6" w14:textId="77777777" w:rsidR="00616A1D" w:rsidRPr="00616A1D" w:rsidRDefault="00616A1D" w:rsidP="00616A1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B4A"/>
                <w:sz w:val="30"/>
                <w:szCs w:val="30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b/>
                <w:bCs/>
                <w:color w:val="3333FF"/>
                <w:sz w:val="30"/>
                <w:szCs w:val="30"/>
                <w:lang w:eastAsia="en-CA"/>
              </w:rPr>
              <w:t>Unit C (Modules 5, 6, and 7)</w:t>
            </w:r>
          </w:p>
          <w:p w14:paraId="6FBEB838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B4A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color w:val="273B4A"/>
                <w:sz w:val="24"/>
                <w:szCs w:val="24"/>
                <w:lang w:eastAsia="en-CA"/>
              </w:rPr>
              <w:t>This unit is worth </w:t>
            </w:r>
            <w:r w:rsidRPr="00616A1D">
              <w:rPr>
                <w:rFonts w:ascii="Times New Roman" w:eastAsia="Times New Roman" w:hAnsi="Times New Roman" w:cs="Times New Roman"/>
                <w:b/>
                <w:bCs/>
                <w:color w:val="273B4A"/>
                <w:sz w:val="24"/>
                <w:szCs w:val="24"/>
                <w:lang w:eastAsia="en-CA"/>
              </w:rPr>
              <w:t>35-45%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sz w:val="24"/>
                <w:szCs w:val="24"/>
                <w:lang w:eastAsia="en-CA"/>
              </w:rPr>
              <w:t> of the exam. 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sz w:val="24"/>
                <w:szCs w:val="24"/>
                <w:lang w:eastAsia="en-CA"/>
              </w:rPr>
              <w:br/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t>(Separated into 25-30% on Modules 5 &amp; 6 and 10-15% on Module 7)</w:t>
            </w:r>
          </w:p>
          <w:p w14:paraId="02AE2B51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noProof/>
                <w:color w:val="4984C9"/>
                <w:sz w:val="24"/>
                <w:szCs w:val="24"/>
                <w:lang w:eastAsia="en-CA"/>
              </w:rPr>
              <w:drawing>
                <wp:inline distT="0" distB="0" distL="0" distR="0" wp14:anchorId="433A052C" wp14:editId="23E53EB5">
                  <wp:extent cx="342900" cy="342900"/>
                  <wp:effectExtent l="0" t="0" r="0" b="0"/>
                  <wp:docPr id="2" name="Picture 2" descr="http://www.weebly.com/weebly/images/file_icons/pdf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eebly.com/weebly/images/file_icons/pdf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1"/>
            </w:tblGrid>
            <w:tr w:rsidR="00616A1D" w:rsidRPr="00616A1D" w14:paraId="68892FD0" w14:textId="77777777" w:rsidTr="00616A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C07659" w14:textId="77777777" w:rsidR="00616A1D" w:rsidRPr="00616A1D" w:rsidRDefault="00616A1D" w:rsidP="00616A1D">
                  <w:pPr>
                    <w:spacing w:after="0" w:line="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en-CA"/>
                    </w:rPr>
                  </w:pPr>
                  <w:r w:rsidRPr="00616A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en-CA"/>
                    </w:rPr>
                    <w:t>unit_c.pdf</w:t>
                  </w:r>
                </w:p>
              </w:tc>
            </w:tr>
          </w:tbl>
          <w:p w14:paraId="71FC3CAA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11" w:history="1">
              <w:r w:rsidRPr="00616A1D">
                <w:rPr>
                  <w:rFonts w:ascii="Times New Roman" w:eastAsia="Times New Roman" w:hAnsi="Times New Roman" w:cs="Times New Roman"/>
                  <w:b/>
                  <w:bCs/>
                  <w:color w:val="4984C9"/>
                  <w:sz w:val="24"/>
                  <w:szCs w:val="24"/>
                  <w:u w:val="single"/>
                  <w:lang w:eastAsia="en-CA"/>
                </w:rPr>
                <w:t>Download File</w:t>
              </w:r>
            </w:hyperlink>
          </w:p>
          <w:p w14:paraId="74B03A7E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pict w14:anchorId="2CA35CE7">
                <v:rect id="_x0000_i1032" style="width:252.75pt;height:1.5pt" o:hrpct="0" o:hralign="center" o:hrstd="t" o:hr="t" fillcolor="#a0a0a0" stroked="f"/>
              </w:pict>
            </w:r>
          </w:p>
          <w:p w14:paraId="27C0F3FA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B4A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CA"/>
              </w:rPr>
              <w:t>VERY IMPORTANT: </w:t>
            </w:r>
            <w:r w:rsidRPr="00616A1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n-CA"/>
              </w:rPr>
              <w:br/>
            </w:r>
            <w:r w:rsidRPr="00616A1D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Be sure that you know the expected ratios for offspring</w:t>
            </w:r>
            <w:r w:rsidRPr="00616A1D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br/>
            </w:r>
            <w:r w:rsidRPr="00616A1D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br/>
              <w:t>Single gene, Heterozygous x Heterozygous, Aa x Aa</w:t>
            </w:r>
            <w:r w:rsidRPr="00616A1D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br/>
              <w:t xml:space="preserve">3:1 ratio of </w:t>
            </w:r>
            <w:proofErr w:type="gramStart"/>
            <w:r w:rsidRPr="00616A1D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dominant :</w:t>
            </w:r>
            <w:proofErr w:type="gramEnd"/>
            <w:r w:rsidRPr="00616A1D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recessive</w:t>
            </w:r>
            <w:r w:rsidRPr="00616A1D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br/>
              <w:t>1:2:1 ratio of homozygous : heterozygous : homozygous</w:t>
            </w:r>
            <w:r w:rsidRPr="00616A1D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br/>
            </w:r>
            <w:r w:rsidRPr="00616A1D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br/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t xml:space="preserve">Two genes, Heterozygous x Heterozygous, </w:t>
            </w:r>
            <w:proofErr w:type="spellStart"/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t>AaBb</w:t>
            </w:r>
            <w:proofErr w:type="spellEnd"/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t xml:space="preserve"> x </w:t>
            </w:r>
            <w:proofErr w:type="spellStart"/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t>AaBb</w:t>
            </w:r>
            <w:proofErr w:type="spellEnd"/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9:3:3:1 ratio 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9 both traits dominant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3 dominant/recessive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3 recessive/dominant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1 both traits recessive</w:t>
            </w:r>
          </w:p>
        </w:tc>
        <w:tc>
          <w:tcPr>
            <w:tcW w:w="8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5C8F92" w14:textId="77777777" w:rsidR="00616A1D" w:rsidRPr="00616A1D" w:rsidRDefault="00616A1D" w:rsidP="00616A1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B4A"/>
                <w:sz w:val="30"/>
                <w:szCs w:val="30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b/>
                <w:bCs/>
                <w:color w:val="3333FF"/>
                <w:sz w:val="30"/>
                <w:szCs w:val="30"/>
                <w:lang w:eastAsia="en-CA"/>
              </w:rPr>
              <w:t xml:space="preserve">Cell </w:t>
            </w:r>
            <w:proofErr w:type="spellStart"/>
            <w:r w:rsidRPr="00616A1D">
              <w:rPr>
                <w:rFonts w:ascii="Times New Roman" w:eastAsia="Times New Roman" w:hAnsi="Times New Roman" w:cs="Times New Roman"/>
                <w:b/>
                <w:bCs/>
                <w:color w:val="3333FF"/>
                <w:sz w:val="30"/>
                <w:szCs w:val="30"/>
                <w:lang w:eastAsia="en-CA"/>
              </w:rPr>
              <w:t>Divison</w:t>
            </w:r>
            <w:proofErr w:type="spellEnd"/>
            <w:r w:rsidRPr="00616A1D">
              <w:rPr>
                <w:rFonts w:ascii="Times New Roman" w:eastAsia="Times New Roman" w:hAnsi="Times New Roman" w:cs="Times New Roman"/>
                <w:b/>
                <w:bCs/>
                <w:color w:val="3333FF"/>
                <w:sz w:val="30"/>
                <w:szCs w:val="30"/>
                <w:lang w:eastAsia="en-CA"/>
              </w:rPr>
              <w:t>, Genetics and Molecular Biology</w:t>
            </w:r>
          </w:p>
          <w:p w14:paraId="69FC8E08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B4A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b/>
                <w:bCs/>
                <w:color w:val="273B4A"/>
                <w:u w:val="single"/>
                <w:lang w:eastAsia="en-CA"/>
              </w:rPr>
              <w:t>THINGS DONE WELL: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identifying events that take place during mitosis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how cell division affects the number of chromosomes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behaviour of chromosomes during various stages of cell division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interpreting diagrams of life cycles, identifying processes that occurred during life cycles, and deducing the ploidy of structures in life cycles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the results of nondisjunction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the ability to compare phenotypes and genotypes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probabilities of outcomes in offspring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identifying structural elements of DNA and RNA and the processes of transcribing and translating a gene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</w:r>
            <w:r w:rsidRPr="00616A1D">
              <w:rPr>
                <w:rFonts w:ascii="Times New Roman" w:eastAsia="Times New Roman" w:hAnsi="Times New Roman" w:cs="Times New Roman"/>
                <w:b/>
                <w:bCs/>
                <w:color w:val="273B4A"/>
                <w:u w:val="single"/>
                <w:lang w:eastAsia="en-CA"/>
              </w:rPr>
              <w:t>THINGS TO WORK ON: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sequencing events of cell division from a list of events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sex-linked inheritance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interpreting information from a pedigree and then identifying the pattern of inheritance illustrated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frequency of cross-overs and gene mapping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be careful when transcribing DNA to mRNA and then translating to amino acids (T replaced with U, a missed base can affect the amino acid chain)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identifying the processes of replication, transcription, and translation from a diagram</w:t>
            </w:r>
          </w:p>
        </w:tc>
      </w:tr>
    </w:tbl>
    <w:p w14:paraId="26916401" w14:textId="77777777" w:rsidR="00616A1D" w:rsidRPr="00616A1D" w:rsidRDefault="00616A1D" w:rsidP="00616A1D">
      <w:pPr>
        <w:shd w:val="clear" w:color="auto" w:fill="EFE8DC"/>
        <w:spacing w:after="0" w:line="240" w:lineRule="auto"/>
        <w:rPr>
          <w:rFonts w:ascii="Trebuchet MS" w:eastAsia="Times New Roman" w:hAnsi="Trebuchet MS" w:cs="Times New Roman"/>
          <w:color w:val="273B4A"/>
          <w:sz w:val="18"/>
          <w:szCs w:val="18"/>
          <w:lang w:eastAsia="en-CA"/>
        </w:rPr>
      </w:pPr>
      <w:r w:rsidRPr="00616A1D">
        <w:rPr>
          <w:rFonts w:ascii="Trebuchet MS" w:eastAsia="Times New Roman" w:hAnsi="Trebuchet MS" w:cs="Times New Roman"/>
          <w:color w:val="273B4A"/>
          <w:sz w:val="18"/>
          <w:szCs w:val="18"/>
          <w:lang w:eastAsia="en-CA"/>
        </w:rPr>
        <w:pict w14:anchorId="122FD7C6">
          <v:rect id="_x0000_i1033" style="width:685.5pt;height:.75pt" o:hrpct="0" o:hralign="center" o:hrstd="t" o:hr="t" fillcolor="#a0a0a0" stroked="f"/>
        </w:pict>
      </w:r>
    </w:p>
    <w:tbl>
      <w:tblPr>
        <w:tblW w:w="14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8"/>
        <w:gridCol w:w="8722"/>
      </w:tblGrid>
      <w:tr w:rsidR="00616A1D" w:rsidRPr="00616A1D" w14:paraId="0D2F03C6" w14:textId="77777777" w:rsidTr="00616A1D">
        <w:tc>
          <w:tcPr>
            <w:tcW w:w="481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2B642D2" w14:textId="77777777" w:rsidR="00616A1D" w:rsidRPr="00616A1D" w:rsidRDefault="00616A1D" w:rsidP="00616A1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B4A"/>
                <w:sz w:val="30"/>
                <w:szCs w:val="30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b/>
                <w:bCs/>
                <w:color w:val="3333FF"/>
                <w:sz w:val="30"/>
                <w:szCs w:val="30"/>
                <w:lang w:eastAsia="en-CA"/>
              </w:rPr>
              <w:t>Unit D (Module 8)</w:t>
            </w:r>
          </w:p>
          <w:p w14:paraId="152E3E92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B4A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color w:val="273B4A"/>
                <w:sz w:val="24"/>
                <w:szCs w:val="24"/>
                <w:lang w:eastAsia="en-CA"/>
              </w:rPr>
              <w:t>This unit is worth </w:t>
            </w:r>
            <w:r w:rsidRPr="00616A1D">
              <w:rPr>
                <w:rFonts w:ascii="Times New Roman" w:eastAsia="Times New Roman" w:hAnsi="Times New Roman" w:cs="Times New Roman"/>
                <w:b/>
                <w:bCs/>
                <w:color w:val="273B4A"/>
                <w:sz w:val="24"/>
                <w:szCs w:val="24"/>
                <w:lang w:eastAsia="en-CA"/>
              </w:rPr>
              <w:t>15-20%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sz w:val="24"/>
                <w:szCs w:val="24"/>
                <w:lang w:eastAsia="en-CA"/>
              </w:rPr>
              <w:t> of the exam.</w:t>
            </w:r>
          </w:p>
          <w:p w14:paraId="2A231712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noProof/>
                <w:color w:val="4984C9"/>
                <w:sz w:val="24"/>
                <w:szCs w:val="24"/>
                <w:lang w:eastAsia="en-CA"/>
              </w:rPr>
              <w:drawing>
                <wp:inline distT="0" distB="0" distL="0" distR="0" wp14:anchorId="50756FD7" wp14:editId="44506BB0">
                  <wp:extent cx="342900" cy="342900"/>
                  <wp:effectExtent l="0" t="0" r="0" b="0"/>
                  <wp:docPr id="1" name="Picture 1" descr="http://www.weebly.com/weebly/images/file_icons/pdf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weebly.com/weebly/images/file_icons/pdf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0"/>
            </w:tblGrid>
            <w:tr w:rsidR="00616A1D" w:rsidRPr="00616A1D" w14:paraId="61CCCB8B" w14:textId="77777777" w:rsidTr="00616A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38D194" w14:textId="77777777" w:rsidR="00616A1D" w:rsidRPr="00616A1D" w:rsidRDefault="00616A1D" w:rsidP="00616A1D">
                  <w:pPr>
                    <w:spacing w:after="0" w:line="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en-CA"/>
                    </w:rPr>
                  </w:pPr>
                  <w:r w:rsidRPr="00616A1D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en-CA"/>
                    </w:rPr>
                    <w:t>unit_d.pdf</w:t>
                  </w:r>
                </w:p>
              </w:tc>
            </w:tr>
          </w:tbl>
          <w:p w14:paraId="08A976DB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13" w:history="1">
              <w:r w:rsidRPr="00616A1D">
                <w:rPr>
                  <w:rFonts w:ascii="Times New Roman" w:eastAsia="Times New Roman" w:hAnsi="Times New Roman" w:cs="Times New Roman"/>
                  <w:b/>
                  <w:bCs/>
                  <w:color w:val="4984C9"/>
                  <w:sz w:val="24"/>
                  <w:szCs w:val="24"/>
                  <w:u w:val="single"/>
                  <w:lang w:eastAsia="en-CA"/>
                </w:rPr>
                <w:t>Download File</w:t>
              </w:r>
            </w:hyperlink>
          </w:p>
          <w:p w14:paraId="68415D7D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pict w14:anchorId="5C401DF2">
                <v:rect id="_x0000_i1035" style="width:240.75pt;height:1.5pt" o:hrpct="0" o:hralign="center" o:hrstd="t" o:hr="t" fillcolor="#a0a0a0" stroked="f"/>
              </w:pict>
            </w:r>
          </w:p>
        </w:tc>
        <w:tc>
          <w:tcPr>
            <w:tcW w:w="844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EAC6B83" w14:textId="77777777" w:rsidR="00616A1D" w:rsidRPr="00616A1D" w:rsidRDefault="00616A1D" w:rsidP="00616A1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73B4A"/>
                <w:sz w:val="30"/>
                <w:szCs w:val="30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b/>
                <w:bCs/>
                <w:color w:val="3333FF"/>
                <w:sz w:val="30"/>
                <w:szCs w:val="30"/>
                <w:lang w:eastAsia="en-CA"/>
              </w:rPr>
              <w:t>Population and Community Dynamics</w:t>
            </w:r>
          </w:p>
          <w:p w14:paraId="27A55808" w14:textId="77777777" w:rsidR="00616A1D" w:rsidRPr="00616A1D" w:rsidRDefault="00616A1D" w:rsidP="00616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B4A"/>
                <w:lang w:eastAsia="en-CA"/>
              </w:rPr>
            </w:pPr>
            <w:r w:rsidRPr="00616A1D">
              <w:rPr>
                <w:rFonts w:ascii="Times New Roman" w:eastAsia="Times New Roman" w:hAnsi="Times New Roman" w:cs="Times New Roman"/>
                <w:b/>
                <w:bCs/>
                <w:color w:val="273B4A"/>
                <w:u w:val="single"/>
                <w:lang w:eastAsia="en-CA"/>
              </w:rPr>
              <w:t>THINGS DONE WELL: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identifying factors that could change the diversity of a population's gene pool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most students correctly use the Hardy-Weinberg formulas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making conclusions about relationships between organisms, types of defence mechanisms, types of reproductive strategies, and ecological succession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identifying population growth patterns and growth curves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identifying density-dependent and density-independent factors that affect the growth of populations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calculating growth rate of a population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</w:r>
            <w:r w:rsidRPr="00616A1D">
              <w:rPr>
                <w:rFonts w:ascii="Times New Roman" w:eastAsia="Times New Roman" w:hAnsi="Times New Roman" w:cs="Times New Roman"/>
                <w:b/>
                <w:bCs/>
                <w:color w:val="273B4A"/>
                <w:u w:val="single"/>
                <w:lang w:eastAsia="en-CA"/>
              </w:rPr>
              <w:t>THINGS TO WORK ON: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be careful identifying what you're trying to solve: the frequency of a genetic disorder (</w:t>
            </w:r>
            <w:r w:rsidRPr="00616A1D">
              <w:rPr>
                <w:rFonts w:ascii="Times New Roman" w:eastAsia="Times New Roman" w:hAnsi="Times New Roman" w:cs="Times New Roman"/>
                <w:i/>
                <w:iCs/>
                <w:color w:val="273B4A"/>
                <w:lang w:eastAsia="en-CA"/>
              </w:rPr>
              <w:t>q^2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t>) or the frequency of the recessive allele (</w:t>
            </w:r>
            <w:r w:rsidRPr="00616A1D">
              <w:rPr>
                <w:rFonts w:ascii="Times New Roman" w:eastAsia="Times New Roman" w:hAnsi="Times New Roman" w:cs="Times New Roman"/>
                <w:i/>
                <w:iCs/>
                <w:color w:val="273B4A"/>
                <w:lang w:eastAsia="en-CA"/>
              </w:rPr>
              <w:t>q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t>)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identifying the 5 factors required for in Hardy-Weinberg equilibrium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differences between open and closed populations and the related factors that influence population growth 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how environmental resistance affects population growth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lastRenderedPageBreak/>
              <w:t>- how human intervention can affect population growth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br/>
              <w:t>- be careful not to confuse </w:t>
            </w:r>
            <w:r w:rsidRPr="00616A1D">
              <w:rPr>
                <w:rFonts w:ascii="Times New Roman" w:eastAsia="Times New Roman" w:hAnsi="Times New Roman" w:cs="Times New Roman"/>
                <w:i/>
                <w:iCs/>
                <w:color w:val="273B4A"/>
                <w:lang w:eastAsia="en-CA"/>
              </w:rPr>
              <w:t>natality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t> and </w:t>
            </w:r>
            <w:r w:rsidRPr="00616A1D">
              <w:rPr>
                <w:rFonts w:ascii="Times New Roman" w:eastAsia="Times New Roman" w:hAnsi="Times New Roman" w:cs="Times New Roman"/>
                <w:i/>
                <w:iCs/>
                <w:color w:val="273B4A"/>
                <w:lang w:eastAsia="en-CA"/>
              </w:rPr>
              <w:t>mortality</w:t>
            </w:r>
            <w:r w:rsidRPr="00616A1D">
              <w:rPr>
                <w:rFonts w:ascii="Times New Roman" w:eastAsia="Times New Roman" w:hAnsi="Times New Roman" w:cs="Times New Roman"/>
                <w:color w:val="273B4A"/>
                <w:lang w:eastAsia="en-CA"/>
              </w:rPr>
              <w:t> (they are quite different)</w:t>
            </w:r>
          </w:p>
        </w:tc>
      </w:tr>
    </w:tbl>
    <w:p w14:paraId="5FB086BD" w14:textId="77777777" w:rsidR="007E6073" w:rsidRDefault="00616A1D"/>
    <w:sectPr w:rsidR="007E6073" w:rsidSect="00616A1D">
      <w:pgSz w:w="16838" w:h="23811" w:code="8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1D"/>
    <w:rsid w:val="00616A1D"/>
    <w:rsid w:val="00722E5B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5C1A"/>
  <w15:chartTrackingRefBased/>
  <w15:docId w15:val="{DE0E49BF-0477-462B-9581-D4DED7A9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A1D"/>
  </w:style>
  <w:style w:type="paragraph" w:styleId="Heading1">
    <w:name w:val="heading 1"/>
    <w:basedOn w:val="Normal"/>
    <w:next w:val="Normal"/>
    <w:link w:val="Heading1Char"/>
    <w:uiPriority w:val="9"/>
    <w:qFormat/>
    <w:rsid w:val="00616A1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A1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A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A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A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A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A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A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A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6A1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16A1D"/>
    <w:rPr>
      <w:b/>
      <w:bCs/>
    </w:rPr>
  </w:style>
  <w:style w:type="character" w:customStyle="1" w:styleId="apple-converted-space">
    <w:name w:val="apple-converted-space"/>
    <w:basedOn w:val="DefaultParagraphFont"/>
    <w:rsid w:val="00616A1D"/>
  </w:style>
  <w:style w:type="character" w:styleId="Hyperlink">
    <w:name w:val="Hyperlink"/>
    <w:basedOn w:val="DefaultParagraphFont"/>
    <w:uiPriority w:val="99"/>
    <w:semiHidden/>
    <w:unhideWhenUsed/>
    <w:rsid w:val="00616A1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16A1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16A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A1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A1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A1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A1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A1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A1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A1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6A1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16A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A1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A1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6A1D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616A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6A1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A1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A1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A1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16A1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6A1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16A1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16A1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16A1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6A1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0045">
                      <w:marLeft w:val="-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7120">
                      <w:marLeft w:val="-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2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7585">
                      <w:marLeft w:val="-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0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74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869">
                      <w:marLeft w:val="-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amcneilatargyll.weebly.com/uploads/5/7/1/8/5718487/unit_b.pdf" TargetMode="External"/><Relationship Id="rId13" Type="http://schemas.openxmlformats.org/officeDocument/2006/relationships/hyperlink" Target="http://lisamcneilatargyll.weebly.com/uploads/5/7/1/8/5718487/unit_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samcneilatargyll.weebly.com/uploads/5/7/1/8/5718487/unit_a.pdf" TargetMode="External"/><Relationship Id="rId12" Type="http://schemas.openxmlformats.org/officeDocument/2006/relationships/hyperlink" Target="http://lisamcneilatargyll.weebly.com/uploads/5/7/1/8/5718487/unit_d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lisamcneilatargyll.weebly.com/uploads/5/7/1/8/5718487/unit_c.pdf" TargetMode="External"/><Relationship Id="rId5" Type="http://schemas.openxmlformats.org/officeDocument/2006/relationships/hyperlink" Target="http://lisamcneilatargyll.weebly.com/uploads/5/7/1/8/5718487/unit_a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isamcneilatargyll.weebly.com/uploads/5/7/1/8/5718487/unit_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samcneilatargyll.weebly.com/uploads/5/7/1/8/5718487/unit_b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1EA4-5867-4512-8119-FCD0D2C0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castelli</dc:creator>
  <cp:keywords/>
  <dc:description/>
  <cp:lastModifiedBy>bruno castelli</cp:lastModifiedBy>
  <cp:revision>1</cp:revision>
  <dcterms:created xsi:type="dcterms:W3CDTF">2016-02-01T19:55:00Z</dcterms:created>
  <dcterms:modified xsi:type="dcterms:W3CDTF">2016-02-01T20:02:00Z</dcterms:modified>
</cp:coreProperties>
</file>