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F088" w14:textId="77777777" w:rsidR="00996A90" w:rsidRPr="00996A90" w:rsidRDefault="00996A90" w:rsidP="00996A90">
      <w:pPr>
        <w:rPr>
          <w:b/>
        </w:rPr>
      </w:pPr>
      <w:r w:rsidRPr="00996A90">
        <w:rPr>
          <w:b/>
        </w:rPr>
        <w:t>SS20U4L3 Issues That Affect Canadian National Unity</w:t>
      </w:r>
    </w:p>
    <w:p w14:paraId="52BE507F" w14:textId="77777777" w:rsidR="00996A90" w:rsidRDefault="00996A90" w:rsidP="00996A90"/>
    <w:p w14:paraId="6A22EFBA" w14:textId="77777777" w:rsidR="00996A90" w:rsidRPr="00996A90" w:rsidRDefault="00996A90" w:rsidP="00996A90"/>
    <w:p w14:paraId="5953995F" w14:textId="77777777" w:rsidR="00996A90" w:rsidRPr="00996A90" w:rsidRDefault="00996A90" w:rsidP="00996A90">
      <w:r w:rsidRPr="00996A90">
        <w:rPr>
          <w:color w:val="000000"/>
        </w:rPr>
        <w:t xml:space="preserve">After viewing this lesson’s videos, </w:t>
      </w:r>
      <w:r w:rsidRPr="000029EF">
        <w:rPr>
          <w:b/>
          <w:color w:val="000000"/>
        </w:rPr>
        <w:t>read pages 347-357</w:t>
      </w:r>
      <w:r w:rsidRPr="00996A90">
        <w:rPr>
          <w:color w:val="000000"/>
        </w:rPr>
        <w:t xml:space="preserve"> of the text to learn about factors that affect Canadian unity.</w:t>
      </w:r>
    </w:p>
    <w:p w14:paraId="772FB371" w14:textId="77777777" w:rsidR="00996A90" w:rsidRPr="007C6999" w:rsidRDefault="00996A90" w:rsidP="00996A90">
      <w:pPr>
        <w:rPr>
          <w:sz w:val="18"/>
        </w:rPr>
      </w:pPr>
      <w:r w:rsidRPr="007C6999">
        <w:rPr>
          <w:color w:val="000000"/>
          <w:szCs w:val="36"/>
        </w:rPr>
        <w:t>Whether they are called helpers or hindrances,</w:t>
      </w:r>
      <w:r w:rsidR="00B037E2">
        <w:rPr>
          <w:color w:val="000000"/>
          <w:szCs w:val="36"/>
        </w:rPr>
        <w:t xml:space="preserve"> opportunities or challenges</w:t>
      </w:r>
      <w:r w:rsidRPr="007C6999">
        <w:rPr>
          <w:color w:val="000000"/>
          <w:szCs w:val="36"/>
        </w:rPr>
        <w:t xml:space="preserve">, there are many factors that affect Canadian unity. As </w:t>
      </w:r>
      <w:r>
        <w:rPr>
          <w:color w:val="000000"/>
          <w:szCs w:val="36"/>
        </w:rPr>
        <w:t>you read,</w:t>
      </w:r>
      <w:r w:rsidRPr="007C6999">
        <w:rPr>
          <w:color w:val="000000"/>
          <w:szCs w:val="36"/>
        </w:rPr>
        <w:t xml:space="preserve"> think of as many factors as possible that could affect Canada's quest for unity.</w:t>
      </w:r>
    </w:p>
    <w:p w14:paraId="7C03DF66" w14:textId="77777777" w:rsidR="00996A90" w:rsidRDefault="00996A90" w:rsidP="00996A90"/>
    <w:p w14:paraId="3B9E34E1" w14:textId="77777777" w:rsidR="00996A90" w:rsidRDefault="00996A90" w:rsidP="00996A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27C9" wp14:editId="4D6CF793">
                <wp:simplePos x="0" y="0"/>
                <wp:positionH relativeFrom="column">
                  <wp:posOffset>2057400</wp:posOffset>
                </wp:positionH>
                <wp:positionV relativeFrom="paragraph">
                  <wp:posOffset>121920</wp:posOffset>
                </wp:positionV>
                <wp:extent cx="2171700" cy="1028700"/>
                <wp:effectExtent l="0" t="0" r="1270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B42BBA" id="Oval 2" o:spid="_x0000_s1026" style="position:absolute;margin-left:162pt;margin-top:9.6pt;width:17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"/>
            </w:pict>
          </mc:Fallback>
        </mc:AlternateContent>
      </w:r>
    </w:p>
    <w:p w14:paraId="3F5F7A13" w14:textId="77777777" w:rsidR="00996A90" w:rsidRDefault="00996A90" w:rsidP="00996A90"/>
    <w:p w14:paraId="4CDAF8AD" w14:textId="77777777" w:rsidR="00996A90" w:rsidRDefault="00996A90" w:rsidP="00996A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2AD06" wp14:editId="2C94AB3A">
                <wp:simplePos x="0" y="0"/>
                <wp:positionH relativeFrom="column">
                  <wp:posOffset>2181225</wp:posOffset>
                </wp:positionH>
                <wp:positionV relativeFrom="paragraph">
                  <wp:posOffset>28575</wp:posOffset>
                </wp:positionV>
                <wp:extent cx="1943100" cy="914400"/>
                <wp:effectExtent l="0" t="1905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A70F" w14:textId="77777777" w:rsidR="00A12F35" w:rsidRPr="00C54D92" w:rsidRDefault="00A12F35" w:rsidP="00996A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Factors affecting</w:t>
                            </w:r>
                            <w:r w:rsidRPr="00C54D92">
                              <w:rPr>
                                <w:b/>
                              </w:rPr>
                              <w:t xml:space="preserve"> Ca</w:t>
                            </w:r>
                            <w:r>
                              <w:rPr>
                                <w:b/>
                              </w:rPr>
                              <w:t>nadian national 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2AD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75pt;margin-top:2.2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" filled="f" stroked="f">
                <v:textbox>
                  <w:txbxContent>
                    <w:p w14:paraId="5E79A70F" w14:textId="77777777" w:rsidR="00A12F35" w:rsidRPr="00C54D92" w:rsidRDefault="00A12F35" w:rsidP="00996A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Factors affecting</w:t>
                      </w:r>
                      <w:r w:rsidRPr="00C54D92">
                        <w:rPr>
                          <w:b/>
                        </w:rPr>
                        <w:t xml:space="preserve"> Ca</w:t>
                      </w:r>
                      <w:r>
                        <w:rPr>
                          <w:b/>
                        </w:rPr>
                        <w:t>nadian national 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0782F385" w14:textId="77777777" w:rsidR="00996A90" w:rsidRDefault="00996A90" w:rsidP="00996A90"/>
    <w:p w14:paraId="45C4F3A8" w14:textId="77777777" w:rsidR="00996A90" w:rsidRDefault="00996A90" w:rsidP="00996A90"/>
    <w:p w14:paraId="2FC452AB" w14:textId="77777777" w:rsidR="00996A90" w:rsidRDefault="00996A90" w:rsidP="00996A90"/>
    <w:p w14:paraId="19A42D69" w14:textId="77777777" w:rsidR="00996A90" w:rsidRDefault="00996A90" w:rsidP="00996A90"/>
    <w:p w14:paraId="4A6ECCF7" w14:textId="77777777" w:rsidR="00996A90" w:rsidRDefault="00996A90" w:rsidP="00996A90"/>
    <w:p w14:paraId="17BA05EF" w14:textId="77777777" w:rsidR="00996A90" w:rsidRDefault="00996A90" w:rsidP="00996A90"/>
    <w:p w14:paraId="5682725F" w14:textId="0FFF1566" w:rsidR="00B037E2" w:rsidRDefault="00B037E2" w:rsidP="00996A90">
      <w:pPr>
        <w:rPr>
          <w:bCs/>
          <w:color w:val="000000"/>
        </w:rPr>
      </w:pPr>
      <w:r>
        <w:rPr>
          <w:bCs/>
          <w:color w:val="000000"/>
        </w:rPr>
        <w:t xml:space="preserve">Within </w:t>
      </w:r>
      <w:r w:rsidR="004A6A95" w:rsidRPr="004A6A95">
        <w:rPr>
          <w:b/>
          <w:bCs/>
          <w:color w:val="000000"/>
        </w:rPr>
        <w:t>THIS</w:t>
      </w:r>
      <w:r w:rsidRPr="004A6A95"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word document, </w:t>
      </w:r>
      <w:r w:rsidRPr="00B037E2">
        <w:rPr>
          <w:b/>
          <w:bCs/>
          <w:color w:val="000000"/>
        </w:rPr>
        <w:t>choose any FIVE of the following issues (</w:t>
      </w:r>
      <w:r>
        <w:rPr>
          <w:bCs/>
          <w:color w:val="000000"/>
        </w:rPr>
        <w:t xml:space="preserve">as discussed in the text) and indicate whether each of the issues is a </w:t>
      </w:r>
      <w:r w:rsidRPr="00B037E2">
        <w:rPr>
          <w:b/>
          <w:bCs/>
          <w:color w:val="000000"/>
        </w:rPr>
        <w:t>challenge, opportunity or both</w:t>
      </w:r>
      <w:r>
        <w:rPr>
          <w:bCs/>
          <w:color w:val="000000"/>
        </w:rPr>
        <w:t xml:space="preserve"> when it comes to creating national unity.</w:t>
      </w:r>
    </w:p>
    <w:p w14:paraId="656A8A77" w14:textId="77777777" w:rsidR="00B037E2" w:rsidRDefault="00B037E2" w:rsidP="00996A90">
      <w:pPr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434EDCE9" w14:textId="47E49823" w:rsidR="00B037E2" w:rsidRDefault="00B037E2" w:rsidP="00B037E2">
      <w:pPr>
        <w:autoSpaceDE w:val="0"/>
        <w:autoSpaceDN w:val="0"/>
        <w:adjustRightInd w:val="0"/>
      </w:pPr>
      <w:r w:rsidRPr="008D60CC">
        <w:t xml:space="preserve">Finally, </w:t>
      </w:r>
      <w:r w:rsidRPr="00B037E2">
        <w:rPr>
          <w:b/>
        </w:rPr>
        <w:t>justify your decisions</w:t>
      </w:r>
      <w:r w:rsidRPr="008D60CC">
        <w:t xml:space="preserve"> and list any evidence </w:t>
      </w:r>
      <w:r>
        <w:t>that</w:t>
      </w:r>
      <w:r w:rsidRPr="008D60CC">
        <w:t xml:space="preserve"> would explain your choice. What do you know </w:t>
      </w:r>
      <w:r w:rsidRPr="008D60CC">
        <w:rPr>
          <w:rStyle w:val="Strong"/>
          <w:b w:val="0"/>
        </w:rPr>
        <w:t>about</w:t>
      </w:r>
      <w:r w:rsidRPr="008D60CC">
        <w:t xml:space="preserve"> the factor </w:t>
      </w:r>
      <w:r>
        <w:t>that</w:t>
      </w:r>
      <w:r w:rsidRPr="008D60CC">
        <w:t xml:space="preserve"> supports your decision?</w:t>
      </w:r>
    </w:p>
    <w:p w14:paraId="27AD53C2" w14:textId="3F730BC0" w:rsidR="004A6A95" w:rsidRDefault="004A6A95" w:rsidP="00B037E2">
      <w:pPr>
        <w:autoSpaceDE w:val="0"/>
        <w:autoSpaceDN w:val="0"/>
        <w:adjustRightInd w:val="0"/>
        <w:rPr>
          <w:color w:val="000000"/>
        </w:rPr>
      </w:pPr>
    </w:p>
    <w:p w14:paraId="3B968929" w14:textId="069C0899" w:rsidR="004A6A95" w:rsidRPr="008D60CC" w:rsidRDefault="004A6A95" w:rsidP="00B037E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In order to adequately demonstrate understanding, each response should be five or more sentences with references to specific events, situations, facts, statistics, etc. </w:t>
      </w:r>
      <w:bookmarkStart w:id="0" w:name="_GoBack"/>
      <w:bookmarkEnd w:id="0"/>
    </w:p>
    <w:p w14:paraId="437D9CC7" w14:textId="77777777" w:rsidR="00B037E2" w:rsidRDefault="00B037E2" w:rsidP="00B037E2"/>
    <w:p w14:paraId="44F458BB" w14:textId="77777777" w:rsidR="00B037E2" w:rsidRPr="00A12F35" w:rsidRDefault="00B037E2" w:rsidP="00996A90">
      <w:pPr>
        <w:rPr>
          <w:bCs/>
          <w:color w:val="000000"/>
        </w:rPr>
      </w:pPr>
      <w:r>
        <w:rPr>
          <w:bCs/>
          <w:color w:val="000000"/>
        </w:rPr>
        <w:t>Information located from pages 347-357 of text.</w:t>
      </w:r>
    </w:p>
    <w:p w14:paraId="6CFCE0FD" w14:textId="77777777" w:rsidR="00996A90" w:rsidRDefault="00996A90" w:rsidP="00996A90">
      <w:pPr>
        <w:rPr>
          <w:color w:val="000000"/>
        </w:rPr>
      </w:pPr>
      <w:r>
        <w:rPr>
          <w:color w:val="000000"/>
        </w:rPr>
        <w:t xml:space="preserve"> </w:t>
      </w:r>
    </w:p>
    <w:p w14:paraId="3C5028B2" w14:textId="77777777" w:rsidR="00A12F35" w:rsidRP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12F35">
        <w:rPr>
          <w:color w:val="000000"/>
        </w:rPr>
        <w:t>Geography of Canada</w:t>
      </w:r>
    </w:p>
    <w:p w14:paraId="6A3605F6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Western Alienation</w:t>
      </w:r>
    </w:p>
    <w:p w14:paraId="358F8B47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Alienation of other regions</w:t>
      </w:r>
    </w:p>
    <w:p w14:paraId="5EDF059F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Federal system and national unity</w:t>
      </w:r>
    </w:p>
    <w:p w14:paraId="2CE79501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Equalization payments</w:t>
      </w:r>
    </w:p>
    <w:p w14:paraId="4B4C24F3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Official multiculturalism</w:t>
      </w:r>
    </w:p>
    <w:p w14:paraId="43325319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Quebec Sovereignty</w:t>
      </w:r>
    </w:p>
    <w:p w14:paraId="7CAAB13B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Bilingualism and Biculturalism</w:t>
      </w:r>
    </w:p>
    <w:p w14:paraId="3B5E2BC1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Aboriginal self determination</w:t>
      </w:r>
    </w:p>
    <w:p w14:paraId="26C166C1" w14:textId="77777777" w:rsidR="005D6320" w:rsidRPr="00B037E2" w:rsidRDefault="00A12F35" w:rsidP="00B037E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Aboriginal land claims</w:t>
      </w:r>
      <w:r>
        <w:rPr>
          <w:color w:val="000000"/>
        </w:rPr>
        <w:br/>
      </w:r>
    </w:p>
    <w:p w14:paraId="648FB335" w14:textId="77777777" w:rsidR="00B037E2" w:rsidRDefault="00B037E2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77DAE1D3" w14:textId="77777777" w:rsidR="000029EF" w:rsidRPr="000029EF" w:rsidRDefault="000029EF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  <w:r w:rsidRPr="000029EF">
        <w:rPr>
          <w:rFonts w:ascii="tahoma" w:hAnsi="tahoma" w:cs="Times New Roman"/>
          <w:b/>
          <w:color w:val="333333"/>
          <w:shd w:val="clear" w:color="auto" w:fill="FFFFFF"/>
          <w:lang w:val="en-CA"/>
        </w:rPr>
        <w:t>Evaluation</w:t>
      </w:r>
      <w:r w:rsidRPr="000029EF">
        <w:rPr>
          <w:rFonts w:ascii="tahoma" w:hAnsi="tahoma" w:cs="Times New Roman"/>
          <w:b/>
          <w:color w:val="333333"/>
          <w:shd w:val="clear" w:color="auto" w:fill="FFFFFF"/>
          <w:lang w:val="en-CA"/>
        </w:rPr>
        <w:br/>
      </w:r>
    </w:p>
    <w:p w14:paraId="2316593C" w14:textId="77777777" w:rsidR="00B037E2" w:rsidRDefault="00B037E2" w:rsidP="000029EF">
      <w:pPr>
        <w:rPr>
          <w:rFonts w:ascii="tahoma" w:hAnsi="tahoma" w:cs="Times New Roman"/>
          <w:color w:val="333333"/>
          <w:shd w:val="clear" w:color="auto" w:fill="FFFFFF"/>
          <w:lang w:val="en-CA"/>
        </w:rPr>
      </w:pPr>
      <w:r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Content </w:t>
      </w:r>
    </w:p>
    <w:p w14:paraId="2B6A16C2" w14:textId="77777777" w:rsidR="000029EF" w:rsidRPr="000029EF" w:rsidRDefault="00B037E2" w:rsidP="000029EF">
      <w:pPr>
        <w:rPr>
          <w:rFonts w:ascii="Times" w:hAnsi="Times" w:cs="Times New Roman"/>
          <w:sz w:val="20"/>
          <w:szCs w:val="20"/>
          <w:lang w:val="en-CA"/>
        </w:rPr>
      </w:pPr>
      <w:r>
        <w:rPr>
          <w:rFonts w:ascii="tahoma" w:hAnsi="tahoma" w:cs="Times New Roman"/>
          <w:color w:val="333333"/>
          <w:shd w:val="clear" w:color="auto" w:fill="FFFFFF"/>
          <w:lang w:val="en-CA"/>
        </w:rPr>
        <w:lastRenderedPageBreak/>
        <w:t>- demonstration of understanding</w:t>
      </w:r>
      <w:r w:rsidR="000029EF"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 - 20</w:t>
      </w:r>
      <w:r w:rsidR="000029EF" w:rsidRPr="000029EF">
        <w:rPr>
          <w:rFonts w:ascii="tahoma" w:hAnsi="tahoma" w:cs="Times New Roman"/>
          <w:color w:val="333333"/>
          <w:lang w:val="en-CA"/>
        </w:rPr>
        <w:br/>
      </w:r>
      <w:r>
        <w:rPr>
          <w:rFonts w:ascii="tahoma" w:hAnsi="tahoma" w:cs="Times New Roman"/>
          <w:color w:val="333333"/>
          <w:lang w:val="en-CA"/>
        </w:rPr>
        <w:t xml:space="preserve">- </w:t>
      </w:r>
      <w:r w:rsidR="009B6F4F">
        <w:rPr>
          <w:rFonts w:ascii="tahoma" w:hAnsi="tahoma" w:cs="Times New Roman"/>
          <w:color w:val="333333"/>
          <w:shd w:val="clear" w:color="auto" w:fill="FFFFFF"/>
          <w:lang w:val="en-CA"/>
        </w:rPr>
        <w:t>paragraph answers,</w:t>
      </w:r>
      <w:r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 supported with evidence</w:t>
      </w:r>
      <w:r w:rsidR="000029EF"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 - 20</w:t>
      </w:r>
    </w:p>
    <w:p w14:paraId="1FF7E0A7" w14:textId="77777777" w:rsidR="000029EF" w:rsidRDefault="000029EF"/>
    <w:sectPr w:rsidR="000029EF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4BCA"/>
    <w:multiLevelType w:val="hybridMultilevel"/>
    <w:tmpl w:val="96826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34CF"/>
    <w:multiLevelType w:val="hybridMultilevel"/>
    <w:tmpl w:val="02F4AAAC"/>
    <w:lvl w:ilvl="0" w:tplc="6A84B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7481D"/>
    <w:multiLevelType w:val="hybridMultilevel"/>
    <w:tmpl w:val="71B6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90"/>
    <w:rsid w:val="000029EF"/>
    <w:rsid w:val="004A6A95"/>
    <w:rsid w:val="005D6320"/>
    <w:rsid w:val="00996A90"/>
    <w:rsid w:val="009B6F4F"/>
    <w:rsid w:val="00A12F35"/>
    <w:rsid w:val="00B037E2"/>
    <w:rsid w:val="00CA2C94"/>
    <w:rsid w:val="00D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7ACC5"/>
  <w14:defaultImageDpi w14:val="300"/>
  <w15:docId w15:val="{1AB0BF9F-AF88-784E-BA87-9489983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A90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96A90"/>
    <w:rPr>
      <w:b/>
      <w:bCs/>
    </w:rPr>
  </w:style>
  <w:style w:type="paragraph" w:styleId="ListParagraph">
    <w:name w:val="List Paragraph"/>
    <w:basedOn w:val="Normal"/>
    <w:uiPriority w:val="34"/>
    <w:qFormat/>
    <w:rsid w:val="00A1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1156</Characters>
  <Application>Microsoft Office Word</Application>
  <DocSecurity>0</DocSecurity>
  <Lines>9</Lines>
  <Paragraphs>2</Paragraphs>
  <ScaleCrop>false</ScaleCrop>
  <Company>ECI inc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2018-11-08T20:53:00Z</dcterms:created>
  <dcterms:modified xsi:type="dcterms:W3CDTF">2018-11-08T20:53:00Z</dcterms:modified>
</cp:coreProperties>
</file>