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3BA54" w14:textId="5E2B0110" w:rsidR="00876441" w:rsidRPr="00097752" w:rsidRDefault="00097752">
      <w:pPr>
        <w:rPr>
          <w:b/>
        </w:rPr>
      </w:pPr>
      <w:bookmarkStart w:id="0" w:name="_GoBack"/>
      <w:bookmarkEnd w:id="0"/>
      <w:r w:rsidRPr="00097752">
        <w:rPr>
          <w:b/>
        </w:rPr>
        <w:t>Paragraph Rubric</w:t>
      </w:r>
    </w:p>
    <w:p w14:paraId="2CBFE309" w14:textId="77777777" w:rsidR="00097752" w:rsidRDefault="00097752"/>
    <w:tbl>
      <w:tblPr>
        <w:tblStyle w:val="TableGrid"/>
        <w:tblW w:w="0" w:type="auto"/>
        <w:tblLook w:val="04A0" w:firstRow="1" w:lastRow="0" w:firstColumn="1" w:lastColumn="0" w:noHBand="0" w:noVBand="1"/>
      </w:tblPr>
      <w:tblGrid>
        <w:gridCol w:w="1568"/>
        <w:gridCol w:w="3672"/>
        <w:gridCol w:w="4110"/>
      </w:tblGrid>
      <w:tr w:rsidR="009E6D6E" w14:paraId="56BA2C2F" w14:textId="77777777" w:rsidTr="009E6D6E">
        <w:tc>
          <w:tcPr>
            <w:tcW w:w="1568" w:type="dxa"/>
          </w:tcPr>
          <w:p w14:paraId="5875A4CA" w14:textId="77777777" w:rsidR="00097752" w:rsidRDefault="00097752"/>
        </w:tc>
        <w:tc>
          <w:tcPr>
            <w:tcW w:w="3672" w:type="dxa"/>
          </w:tcPr>
          <w:p w14:paraId="0BCFCDE1" w14:textId="751CF542" w:rsidR="00097752" w:rsidRDefault="00772D3F" w:rsidP="00772D3F">
            <w:pPr>
              <w:jc w:val="center"/>
            </w:pPr>
            <w:r>
              <w:t>Explanation and Support</w:t>
            </w:r>
          </w:p>
          <w:p w14:paraId="72F9C987" w14:textId="77777777" w:rsidR="00772D3F" w:rsidRDefault="00772D3F" w:rsidP="00772D3F">
            <w:pPr>
              <w:jc w:val="center"/>
            </w:pPr>
            <w:r>
              <w:t>10 marks</w:t>
            </w:r>
          </w:p>
          <w:p w14:paraId="4F5C89EF" w14:textId="77777777" w:rsidR="00772D3F" w:rsidRDefault="00772D3F" w:rsidP="00772D3F">
            <w:pPr>
              <w:jc w:val="center"/>
            </w:pPr>
          </w:p>
          <w:p w14:paraId="48F57B73" w14:textId="77777777" w:rsidR="00772D3F" w:rsidRPr="00772D3F" w:rsidRDefault="00772D3F" w:rsidP="00772D3F">
            <w:pPr>
              <w:pStyle w:val="style2"/>
              <w:spacing w:before="0" w:beforeAutospacing="0" w:after="150" w:afterAutospacing="0"/>
              <w:rPr>
                <w:rFonts w:ascii="PT Sans" w:hAnsi="PT Sans"/>
                <w:color w:val="363636"/>
                <w:sz w:val="20"/>
                <w:szCs w:val="20"/>
              </w:rPr>
            </w:pPr>
            <w:r w:rsidRPr="00772D3F">
              <w:rPr>
                <w:rFonts w:ascii="PT Sans" w:hAnsi="PT Sans"/>
                <w:color w:val="363636"/>
                <w:sz w:val="20"/>
                <w:szCs w:val="20"/>
              </w:rPr>
              <w:t>When marking</w:t>
            </w:r>
            <w:r w:rsidRPr="00772D3F">
              <w:rPr>
                <w:rStyle w:val="apple-converted-space"/>
                <w:rFonts w:ascii="PT Sans" w:hAnsi="PT Sans"/>
                <w:color w:val="363636"/>
                <w:sz w:val="20"/>
                <w:szCs w:val="20"/>
              </w:rPr>
              <w:t> </w:t>
            </w:r>
            <w:r w:rsidRPr="00772D3F">
              <w:rPr>
                <w:rStyle w:val="Emphasis"/>
                <w:rFonts w:ascii="PT Sans" w:hAnsi="PT Sans"/>
                <w:b/>
                <w:bCs/>
                <w:color w:val="363636"/>
                <w:sz w:val="20"/>
                <w:szCs w:val="20"/>
              </w:rPr>
              <w:t>Explanations and Support</w:t>
            </w:r>
            <w:r w:rsidRPr="00772D3F">
              <w:rPr>
                <w:rFonts w:ascii="PT Sans" w:hAnsi="PT Sans"/>
                <w:color w:val="363636"/>
                <w:sz w:val="20"/>
                <w:szCs w:val="20"/>
              </w:rPr>
              <w:t>, markers should consider</w:t>
            </w:r>
          </w:p>
          <w:p w14:paraId="0C8DD421" w14:textId="77777777" w:rsidR="00772D3F" w:rsidRPr="00772D3F" w:rsidRDefault="00772D3F" w:rsidP="00772D3F">
            <w:pPr>
              <w:pStyle w:val="NormalWeb"/>
              <w:numPr>
                <w:ilvl w:val="0"/>
                <w:numId w:val="1"/>
              </w:numPr>
              <w:spacing w:before="0" w:beforeAutospacing="0" w:after="150" w:afterAutospacing="0" w:line="300" w:lineRule="atLeast"/>
              <w:ind w:left="525"/>
              <w:rPr>
                <w:rFonts w:ascii="PT Sans" w:hAnsi="PT Sans"/>
                <w:color w:val="363636"/>
                <w:sz w:val="20"/>
                <w:szCs w:val="20"/>
              </w:rPr>
            </w:pPr>
            <w:r w:rsidRPr="00772D3F">
              <w:rPr>
                <w:rFonts w:ascii="PT Sans" w:hAnsi="PT Sans"/>
                <w:color w:val="363636"/>
                <w:sz w:val="20"/>
                <w:szCs w:val="20"/>
              </w:rPr>
              <w:t>quality of explanations</w:t>
            </w:r>
          </w:p>
          <w:p w14:paraId="380FB84D" w14:textId="77777777" w:rsidR="00772D3F" w:rsidRPr="00772D3F" w:rsidRDefault="00772D3F" w:rsidP="00772D3F">
            <w:pPr>
              <w:pStyle w:val="NormalWeb"/>
              <w:numPr>
                <w:ilvl w:val="0"/>
                <w:numId w:val="1"/>
              </w:numPr>
              <w:spacing w:before="0" w:beforeAutospacing="0" w:after="150" w:afterAutospacing="0" w:line="300" w:lineRule="atLeast"/>
              <w:ind w:left="525"/>
              <w:rPr>
                <w:rFonts w:ascii="PT Sans" w:hAnsi="PT Sans"/>
                <w:color w:val="363636"/>
                <w:sz w:val="20"/>
                <w:szCs w:val="20"/>
              </w:rPr>
            </w:pPr>
            <w:r w:rsidRPr="00772D3F">
              <w:rPr>
                <w:rFonts w:ascii="PT Sans" w:hAnsi="PT Sans"/>
                <w:color w:val="363636"/>
                <w:sz w:val="20"/>
                <w:szCs w:val="20"/>
              </w:rPr>
              <w:t>selection and quality of support</w:t>
            </w:r>
          </w:p>
          <w:p w14:paraId="343FC608" w14:textId="032F59D4" w:rsidR="00772D3F" w:rsidRDefault="00772D3F" w:rsidP="00772D3F">
            <w:pPr>
              <w:jc w:val="center"/>
            </w:pPr>
          </w:p>
        </w:tc>
        <w:tc>
          <w:tcPr>
            <w:tcW w:w="4110" w:type="dxa"/>
          </w:tcPr>
          <w:p w14:paraId="6EF67816" w14:textId="77777777" w:rsidR="00097752" w:rsidRDefault="00772D3F" w:rsidP="00772D3F">
            <w:pPr>
              <w:jc w:val="center"/>
            </w:pPr>
            <w:r>
              <w:t>Communication</w:t>
            </w:r>
          </w:p>
          <w:p w14:paraId="4E1E324C" w14:textId="77777777" w:rsidR="00772D3F" w:rsidRDefault="00772D3F" w:rsidP="00772D3F">
            <w:pPr>
              <w:jc w:val="center"/>
            </w:pPr>
            <w:r>
              <w:t>5 marks</w:t>
            </w:r>
          </w:p>
          <w:p w14:paraId="2C247C54" w14:textId="77777777" w:rsidR="00772D3F" w:rsidRDefault="00772D3F" w:rsidP="00772D3F">
            <w:pPr>
              <w:jc w:val="center"/>
            </w:pPr>
          </w:p>
          <w:p w14:paraId="23EF0839" w14:textId="77777777" w:rsidR="00772D3F" w:rsidRPr="00772D3F" w:rsidRDefault="00772D3F" w:rsidP="00772D3F">
            <w:pPr>
              <w:spacing w:after="150"/>
              <w:rPr>
                <w:rFonts w:ascii="PT Sans" w:hAnsi="PT Sans" w:cs="Times New Roman"/>
                <w:color w:val="363636"/>
                <w:sz w:val="20"/>
                <w:szCs w:val="20"/>
              </w:rPr>
            </w:pPr>
            <w:r w:rsidRPr="00772D3F">
              <w:rPr>
                <w:rFonts w:ascii="PT Sans" w:hAnsi="PT Sans" w:cs="Times New Roman"/>
                <w:color w:val="363636"/>
                <w:sz w:val="20"/>
                <w:szCs w:val="20"/>
              </w:rPr>
              <w:t>When marking </w:t>
            </w:r>
            <w:r w:rsidRPr="00772D3F">
              <w:rPr>
                <w:rFonts w:ascii="PT Sans" w:hAnsi="PT Sans" w:cs="Times New Roman"/>
                <w:b/>
                <w:bCs/>
                <w:i/>
                <w:iCs/>
                <w:color w:val="363636"/>
                <w:sz w:val="20"/>
                <w:szCs w:val="20"/>
              </w:rPr>
              <w:t>Communication</w:t>
            </w:r>
            <w:r w:rsidRPr="00772D3F">
              <w:rPr>
                <w:rFonts w:ascii="PT Sans" w:hAnsi="PT Sans" w:cs="Times New Roman"/>
                <w:color w:val="363636"/>
                <w:sz w:val="20"/>
                <w:szCs w:val="20"/>
              </w:rPr>
              <w:t>, markers should consider</w:t>
            </w:r>
          </w:p>
          <w:p w14:paraId="241B31B9" w14:textId="77777777" w:rsidR="00772D3F" w:rsidRPr="00772D3F" w:rsidRDefault="00772D3F" w:rsidP="00772D3F">
            <w:pPr>
              <w:numPr>
                <w:ilvl w:val="0"/>
                <w:numId w:val="2"/>
              </w:numPr>
              <w:spacing w:after="150" w:line="300" w:lineRule="atLeast"/>
              <w:ind w:left="525"/>
              <w:rPr>
                <w:rFonts w:ascii="PT Sans" w:hAnsi="PT Sans" w:cs="Times New Roman"/>
                <w:color w:val="363636"/>
                <w:sz w:val="20"/>
                <w:szCs w:val="20"/>
              </w:rPr>
            </w:pPr>
            <w:r w:rsidRPr="00772D3F">
              <w:rPr>
                <w:rFonts w:ascii="PT Sans" w:hAnsi="PT Sans" w:cs="Times New Roman"/>
                <w:color w:val="363636"/>
                <w:sz w:val="20"/>
                <w:szCs w:val="20"/>
              </w:rPr>
              <w:t>organization and coherence</w:t>
            </w:r>
          </w:p>
          <w:p w14:paraId="424F56D4" w14:textId="77777777" w:rsidR="00772D3F" w:rsidRPr="00772D3F" w:rsidRDefault="00772D3F" w:rsidP="00772D3F">
            <w:pPr>
              <w:numPr>
                <w:ilvl w:val="0"/>
                <w:numId w:val="2"/>
              </w:numPr>
              <w:spacing w:after="150" w:line="300" w:lineRule="atLeast"/>
              <w:ind w:left="525"/>
              <w:rPr>
                <w:rFonts w:ascii="PT Sans" w:hAnsi="PT Sans" w:cs="Times New Roman"/>
                <w:color w:val="363636"/>
                <w:sz w:val="20"/>
                <w:szCs w:val="20"/>
              </w:rPr>
            </w:pPr>
            <w:r w:rsidRPr="00772D3F">
              <w:rPr>
                <w:rFonts w:ascii="PT Sans" w:hAnsi="PT Sans" w:cs="Times New Roman"/>
                <w:color w:val="363636"/>
                <w:sz w:val="20"/>
                <w:szCs w:val="20"/>
              </w:rPr>
              <w:t>vocabulary (specificity and accuracy)</w:t>
            </w:r>
          </w:p>
          <w:p w14:paraId="78C2EDEF" w14:textId="77777777" w:rsidR="00772D3F" w:rsidRPr="00772D3F" w:rsidRDefault="00772D3F" w:rsidP="00772D3F">
            <w:pPr>
              <w:numPr>
                <w:ilvl w:val="0"/>
                <w:numId w:val="2"/>
              </w:numPr>
              <w:spacing w:after="150" w:line="300" w:lineRule="atLeast"/>
              <w:ind w:left="525"/>
              <w:rPr>
                <w:rFonts w:ascii="PT Sans" w:hAnsi="PT Sans" w:cs="Times New Roman"/>
                <w:color w:val="363636"/>
                <w:sz w:val="20"/>
                <w:szCs w:val="20"/>
              </w:rPr>
            </w:pPr>
            <w:r w:rsidRPr="00772D3F">
              <w:rPr>
                <w:rFonts w:ascii="PT Sans" w:hAnsi="PT Sans" w:cs="Times New Roman"/>
                <w:color w:val="363636"/>
                <w:sz w:val="20"/>
                <w:szCs w:val="20"/>
              </w:rPr>
              <w:t>sentence construction (clarity, completeness)</w:t>
            </w:r>
          </w:p>
          <w:p w14:paraId="692EF1BE" w14:textId="77777777" w:rsidR="00772D3F" w:rsidRPr="00772D3F" w:rsidRDefault="00772D3F" w:rsidP="00772D3F">
            <w:pPr>
              <w:numPr>
                <w:ilvl w:val="0"/>
                <w:numId w:val="2"/>
              </w:numPr>
              <w:spacing w:after="150" w:line="300" w:lineRule="atLeast"/>
              <w:ind w:left="525"/>
              <w:rPr>
                <w:rFonts w:ascii="PT Sans" w:hAnsi="PT Sans" w:cs="Times New Roman"/>
                <w:color w:val="363636"/>
                <w:sz w:val="20"/>
                <w:szCs w:val="20"/>
              </w:rPr>
            </w:pPr>
            <w:r w:rsidRPr="00772D3F">
              <w:rPr>
                <w:rFonts w:ascii="PT Sans" w:hAnsi="PT Sans" w:cs="Times New Roman"/>
                <w:color w:val="363636"/>
                <w:sz w:val="20"/>
                <w:szCs w:val="20"/>
              </w:rPr>
              <w:t>grammar and mechanics (consistency of tense, punctuation, spelling, capitalization)</w:t>
            </w:r>
          </w:p>
          <w:p w14:paraId="48FCF30B"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Proportion of error to the length and complexity of the response must be applied when awarding a mark for </w:t>
            </w:r>
            <w:r w:rsidRPr="00772D3F">
              <w:rPr>
                <w:rFonts w:ascii="PT Sans" w:eastAsia="Times New Roman" w:hAnsi="PT Sans" w:cs="Times New Roman"/>
                <w:b/>
                <w:bCs/>
                <w:i/>
                <w:iCs/>
                <w:color w:val="363636"/>
                <w:sz w:val="20"/>
                <w:szCs w:val="20"/>
              </w:rPr>
              <w:t>Communication</w:t>
            </w:r>
            <w:r w:rsidRPr="00772D3F">
              <w:rPr>
                <w:rFonts w:ascii="PT Sans" w:eastAsia="Times New Roman" w:hAnsi="PT Sans" w:cs="Times New Roman"/>
                <w:color w:val="363636"/>
                <w:sz w:val="20"/>
                <w:szCs w:val="20"/>
                <w:shd w:val="clear" w:color="auto" w:fill="FFFFCC"/>
              </w:rPr>
              <w:t>.</w:t>
            </w:r>
          </w:p>
          <w:p w14:paraId="0D9CE2EC" w14:textId="0069C7A7" w:rsidR="00772D3F" w:rsidRDefault="00772D3F" w:rsidP="00772D3F">
            <w:pPr>
              <w:jc w:val="center"/>
            </w:pPr>
          </w:p>
        </w:tc>
      </w:tr>
      <w:tr w:rsidR="009E6D6E" w14:paraId="3D9F3F95" w14:textId="77777777" w:rsidTr="009E6D6E">
        <w:tc>
          <w:tcPr>
            <w:tcW w:w="1568" w:type="dxa"/>
          </w:tcPr>
          <w:p w14:paraId="3F3DE69C" w14:textId="3E19E9E9" w:rsidR="00097752" w:rsidRDefault="00772D3F">
            <w:r>
              <w:t>Excellent</w:t>
            </w:r>
          </w:p>
        </w:tc>
        <w:tc>
          <w:tcPr>
            <w:tcW w:w="3672" w:type="dxa"/>
          </w:tcPr>
          <w:p w14:paraId="40FC7C3D"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Explanations are thorough and comprehensive revealing a perceptive understanding. Support is specific and accurate, and errors, if present, do not detract from the response. </w:t>
            </w:r>
            <w:r w:rsidRPr="00772D3F">
              <w:rPr>
                <w:rFonts w:ascii="PT Sans" w:eastAsia="Times New Roman" w:hAnsi="PT Sans" w:cs="Times New Roman"/>
                <w:color w:val="363636"/>
                <w:sz w:val="20"/>
                <w:szCs w:val="20"/>
              </w:rPr>
              <w:t>Mark=10</w:t>
            </w:r>
          </w:p>
          <w:p w14:paraId="44C4B8DA" w14:textId="77777777" w:rsidR="00097752" w:rsidRPr="00772D3F" w:rsidRDefault="00097752">
            <w:pPr>
              <w:rPr>
                <w:sz w:val="20"/>
                <w:szCs w:val="20"/>
              </w:rPr>
            </w:pPr>
          </w:p>
        </w:tc>
        <w:tc>
          <w:tcPr>
            <w:tcW w:w="4110" w:type="dxa"/>
          </w:tcPr>
          <w:p w14:paraId="689630D7"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The writing is fluent and effectively organized. Vocabulary is precise and effective. The writing demonstrates confident control of sentence construction, grammar, and mechanics. The occurrence of error is rare.  </w:t>
            </w:r>
            <w:r w:rsidRPr="00772D3F">
              <w:rPr>
                <w:rFonts w:ascii="PT Sans" w:eastAsia="Times New Roman" w:hAnsi="PT Sans" w:cs="Times New Roman"/>
                <w:color w:val="363636"/>
                <w:sz w:val="20"/>
                <w:szCs w:val="20"/>
              </w:rPr>
              <w:t>Mark=5</w:t>
            </w:r>
          </w:p>
          <w:p w14:paraId="49F4564A" w14:textId="77777777" w:rsidR="00097752" w:rsidRPr="00772D3F" w:rsidRDefault="00097752">
            <w:pPr>
              <w:rPr>
                <w:sz w:val="20"/>
                <w:szCs w:val="20"/>
              </w:rPr>
            </w:pPr>
          </w:p>
        </w:tc>
      </w:tr>
      <w:tr w:rsidR="009E6D6E" w14:paraId="648B044D" w14:textId="77777777" w:rsidTr="009E6D6E">
        <w:tc>
          <w:tcPr>
            <w:tcW w:w="1568" w:type="dxa"/>
          </w:tcPr>
          <w:p w14:paraId="4FDDEA65" w14:textId="4430E825" w:rsidR="00772D3F" w:rsidRDefault="00772D3F">
            <w:r>
              <w:t>Proficient</w:t>
            </w:r>
          </w:p>
        </w:tc>
        <w:tc>
          <w:tcPr>
            <w:tcW w:w="3672" w:type="dxa"/>
          </w:tcPr>
          <w:p w14:paraId="4C577A7C"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Explanations are appropriate and purposeful revealing a clear understanding. Support is relevant and appropriate, but it may contain some minor errors. </w:t>
            </w:r>
            <w:r w:rsidRPr="00772D3F">
              <w:rPr>
                <w:rFonts w:ascii="PT Sans" w:eastAsia="Times New Roman" w:hAnsi="PT Sans" w:cs="Times New Roman"/>
                <w:color w:val="363636"/>
                <w:sz w:val="20"/>
                <w:szCs w:val="20"/>
              </w:rPr>
              <w:t>Mark=8</w:t>
            </w:r>
          </w:p>
          <w:p w14:paraId="0F760BCC" w14:textId="77777777" w:rsidR="00772D3F" w:rsidRPr="00772D3F" w:rsidRDefault="00772D3F">
            <w:pPr>
              <w:rPr>
                <w:sz w:val="20"/>
                <w:szCs w:val="20"/>
              </w:rPr>
            </w:pPr>
          </w:p>
        </w:tc>
        <w:tc>
          <w:tcPr>
            <w:tcW w:w="4110" w:type="dxa"/>
          </w:tcPr>
          <w:p w14:paraId="32EABD6C"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The writing is clearly organized. Vocabulary is accurate and appropriate. The writing frequently demonstrates effective control of sentence construction, grammar, and mechanics. The occurrence of error is infrequent. </w:t>
            </w:r>
            <w:r w:rsidRPr="00772D3F">
              <w:rPr>
                <w:rFonts w:ascii="PT Sans" w:eastAsia="Times New Roman" w:hAnsi="PT Sans" w:cs="Times New Roman"/>
                <w:color w:val="363636"/>
                <w:sz w:val="20"/>
                <w:szCs w:val="20"/>
              </w:rPr>
              <w:t>Mark=4</w:t>
            </w:r>
          </w:p>
          <w:p w14:paraId="3EAF4230" w14:textId="77777777" w:rsidR="00772D3F" w:rsidRPr="00772D3F" w:rsidRDefault="00772D3F">
            <w:pPr>
              <w:rPr>
                <w:sz w:val="20"/>
                <w:szCs w:val="20"/>
              </w:rPr>
            </w:pPr>
          </w:p>
        </w:tc>
      </w:tr>
      <w:tr w:rsidR="009E6D6E" w14:paraId="2E82B2DA" w14:textId="77777777" w:rsidTr="009E6D6E">
        <w:tc>
          <w:tcPr>
            <w:tcW w:w="1568" w:type="dxa"/>
          </w:tcPr>
          <w:p w14:paraId="7A009619" w14:textId="671430AE" w:rsidR="00772D3F" w:rsidRDefault="00772D3F">
            <w:r>
              <w:t>Satisfactory</w:t>
            </w:r>
          </w:p>
        </w:tc>
        <w:tc>
          <w:tcPr>
            <w:tcW w:w="3672" w:type="dxa"/>
          </w:tcPr>
          <w:p w14:paraId="40969D75"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Explanations are general and straightforward revealing an acceptable understanding. Support is relevant but general, may be incompletely developed, and/or contains errors. </w:t>
            </w:r>
            <w:r w:rsidRPr="00772D3F">
              <w:rPr>
                <w:rFonts w:ascii="PT Sans" w:eastAsia="Times New Roman" w:hAnsi="PT Sans" w:cs="Times New Roman"/>
                <w:color w:val="363636"/>
                <w:sz w:val="20"/>
                <w:szCs w:val="20"/>
              </w:rPr>
              <w:t>Mark=6</w:t>
            </w:r>
          </w:p>
          <w:p w14:paraId="038B39EB" w14:textId="77777777" w:rsidR="00772D3F" w:rsidRPr="00772D3F" w:rsidRDefault="00772D3F">
            <w:pPr>
              <w:rPr>
                <w:sz w:val="20"/>
                <w:szCs w:val="20"/>
              </w:rPr>
            </w:pPr>
          </w:p>
        </w:tc>
        <w:tc>
          <w:tcPr>
            <w:tcW w:w="4110" w:type="dxa"/>
          </w:tcPr>
          <w:p w14:paraId="7E4D66E8"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The writing is generally clear and functionally organized. Vocabulary is generally accurate, but not specific. The writing demonstrates basic control of sentence construction, grammar, and mechanics. Errors do not seriously interfere with communication. </w:t>
            </w:r>
            <w:r w:rsidRPr="00772D3F">
              <w:rPr>
                <w:rFonts w:ascii="PT Sans" w:eastAsia="Times New Roman" w:hAnsi="PT Sans" w:cs="Times New Roman"/>
                <w:color w:val="363636"/>
                <w:sz w:val="20"/>
                <w:szCs w:val="20"/>
              </w:rPr>
              <w:t>Mark=3</w:t>
            </w:r>
          </w:p>
          <w:p w14:paraId="0F39912A" w14:textId="77777777" w:rsidR="00772D3F" w:rsidRPr="00772D3F" w:rsidRDefault="00772D3F">
            <w:pPr>
              <w:rPr>
                <w:sz w:val="20"/>
                <w:szCs w:val="20"/>
              </w:rPr>
            </w:pPr>
          </w:p>
        </w:tc>
      </w:tr>
      <w:tr w:rsidR="009E6D6E" w14:paraId="71F4AC73" w14:textId="77777777" w:rsidTr="009E6D6E">
        <w:tc>
          <w:tcPr>
            <w:tcW w:w="1568" w:type="dxa"/>
          </w:tcPr>
          <w:p w14:paraId="362DD62A" w14:textId="5288B0A3" w:rsidR="00772D3F" w:rsidRDefault="00772D3F">
            <w:r>
              <w:t>Limited</w:t>
            </w:r>
          </w:p>
        </w:tc>
        <w:tc>
          <w:tcPr>
            <w:tcW w:w="3672" w:type="dxa"/>
          </w:tcPr>
          <w:p w14:paraId="2D715C3F"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 xml:space="preserve">Explanations are over-generalized and/or redundant revealing a confused, though discernible, understanding. Support is superficial, may not always </w:t>
            </w:r>
            <w:r w:rsidRPr="00772D3F">
              <w:rPr>
                <w:rFonts w:ascii="PT Sans" w:eastAsia="Times New Roman" w:hAnsi="PT Sans" w:cs="Times New Roman"/>
                <w:color w:val="363636"/>
                <w:sz w:val="20"/>
                <w:szCs w:val="20"/>
                <w:shd w:val="clear" w:color="auto" w:fill="FFFFCC"/>
              </w:rPr>
              <w:lastRenderedPageBreak/>
              <w:t>be relevant, and may contain significant errors. </w:t>
            </w:r>
            <w:r w:rsidRPr="00772D3F">
              <w:rPr>
                <w:rFonts w:ascii="PT Sans" w:eastAsia="Times New Roman" w:hAnsi="PT Sans" w:cs="Times New Roman"/>
                <w:color w:val="363636"/>
                <w:sz w:val="20"/>
                <w:szCs w:val="20"/>
              </w:rPr>
              <w:t>Mark=4</w:t>
            </w:r>
          </w:p>
          <w:p w14:paraId="177DDC48" w14:textId="77777777" w:rsidR="00772D3F" w:rsidRPr="00772D3F" w:rsidRDefault="00772D3F">
            <w:pPr>
              <w:rPr>
                <w:sz w:val="20"/>
                <w:szCs w:val="20"/>
              </w:rPr>
            </w:pPr>
          </w:p>
        </w:tc>
        <w:tc>
          <w:tcPr>
            <w:tcW w:w="4110" w:type="dxa"/>
          </w:tcPr>
          <w:p w14:paraId="5D3F905F"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lastRenderedPageBreak/>
              <w:t xml:space="preserve">The writing is uneven and incomplete but is discernibly organized. Vocabulary is imprecise and/or inappropriate. The writing demonstrates faltering control of sentence </w:t>
            </w:r>
            <w:r w:rsidRPr="00772D3F">
              <w:rPr>
                <w:rFonts w:ascii="PT Sans" w:eastAsia="Times New Roman" w:hAnsi="PT Sans" w:cs="Times New Roman"/>
                <w:color w:val="363636"/>
                <w:sz w:val="20"/>
                <w:szCs w:val="20"/>
                <w:shd w:val="clear" w:color="auto" w:fill="FFFFCC"/>
              </w:rPr>
              <w:lastRenderedPageBreak/>
              <w:t>construction, grammar, and mechanics. Errors hinder communication.  </w:t>
            </w:r>
            <w:r w:rsidRPr="00772D3F">
              <w:rPr>
                <w:rFonts w:ascii="PT Sans" w:eastAsia="Times New Roman" w:hAnsi="PT Sans" w:cs="Times New Roman"/>
                <w:color w:val="363636"/>
                <w:sz w:val="20"/>
                <w:szCs w:val="20"/>
              </w:rPr>
              <w:t>Mark=2</w:t>
            </w:r>
          </w:p>
          <w:p w14:paraId="52787386" w14:textId="77777777" w:rsidR="00772D3F" w:rsidRPr="00772D3F" w:rsidRDefault="00772D3F">
            <w:pPr>
              <w:rPr>
                <w:sz w:val="20"/>
                <w:szCs w:val="20"/>
              </w:rPr>
            </w:pPr>
          </w:p>
        </w:tc>
      </w:tr>
      <w:tr w:rsidR="009E6D6E" w14:paraId="3F825EB0" w14:textId="77777777" w:rsidTr="009E6D6E">
        <w:tc>
          <w:tcPr>
            <w:tcW w:w="1568" w:type="dxa"/>
          </w:tcPr>
          <w:p w14:paraId="02925DA9" w14:textId="07776E51" w:rsidR="00772D3F" w:rsidRDefault="00772D3F">
            <w:r>
              <w:lastRenderedPageBreak/>
              <w:t>Poor</w:t>
            </w:r>
          </w:p>
        </w:tc>
        <w:tc>
          <w:tcPr>
            <w:tcW w:w="3672" w:type="dxa"/>
          </w:tcPr>
          <w:p w14:paraId="3BEC5109"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Explanations are tangential or minimal revealing a negligible understanding. Support, if present, is incomplete, may be marginally relevant, and contains significant and/or frequent errors. </w:t>
            </w:r>
            <w:r w:rsidRPr="00772D3F">
              <w:rPr>
                <w:rFonts w:ascii="PT Sans" w:eastAsia="Times New Roman" w:hAnsi="PT Sans" w:cs="Times New Roman"/>
                <w:color w:val="363636"/>
                <w:sz w:val="20"/>
                <w:szCs w:val="20"/>
              </w:rPr>
              <w:t>Mark=2</w:t>
            </w:r>
          </w:p>
          <w:p w14:paraId="441FD6EA" w14:textId="77777777" w:rsidR="00772D3F" w:rsidRPr="00772D3F" w:rsidRDefault="00772D3F">
            <w:pPr>
              <w:rPr>
                <w:sz w:val="20"/>
                <w:szCs w:val="20"/>
              </w:rPr>
            </w:pPr>
          </w:p>
        </w:tc>
        <w:tc>
          <w:tcPr>
            <w:tcW w:w="4110" w:type="dxa"/>
          </w:tcPr>
          <w:p w14:paraId="17EBE27D" w14:textId="77777777" w:rsidR="00772D3F" w:rsidRPr="00772D3F" w:rsidRDefault="00772D3F" w:rsidP="00772D3F">
            <w:pPr>
              <w:rPr>
                <w:rFonts w:ascii="Times New Roman" w:eastAsia="Times New Roman" w:hAnsi="Times New Roman" w:cs="Times New Roman"/>
                <w:sz w:val="20"/>
                <w:szCs w:val="20"/>
              </w:rPr>
            </w:pPr>
            <w:r w:rsidRPr="00772D3F">
              <w:rPr>
                <w:rFonts w:ascii="PT Sans" w:eastAsia="Times New Roman" w:hAnsi="PT Sans" w:cs="Times New Roman"/>
                <w:color w:val="363636"/>
                <w:sz w:val="20"/>
                <w:szCs w:val="20"/>
                <w:shd w:val="clear" w:color="auto" w:fill="FFFFCC"/>
              </w:rPr>
              <w:t>The writing is unclear and disorganized. Vocabulary is ineffective and frequently incorrect. A lack of control of sentence construction, grammar, and mechanics is demonstrated. Errors impede communication.  </w:t>
            </w:r>
            <w:r w:rsidRPr="00772D3F">
              <w:rPr>
                <w:rFonts w:ascii="PT Sans" w:eastAsia="Times New Roman" w:hAnsi="PT Sans" w:cs="Times New Roman"/>
                <w:color w:val="363636"/>
                <w:sz w:val="20"/>
                <w:szCs w:val="20"/>
              </w:rPr>
              <w:t>Mark=1</w:t>
            </w:r>
          </w:p>
          <w:p w14:paraId="1484A388" w14:textId="77777777" w:rsidR="00772D3F" w:rsidRPr="00772D3F" w:rsidRDefault="00772D3F">
            <w:pPr>
              <w:rPr>
                <w:sz w:val="20"/>
                <w:szCs w:val="20"/>
              </w:rPr>
            </w:pPr>
          </w:p>
        </w:tc>
      </w:tr>
    </w:tbl>
    <w:p w14:paraId="215703C8" w14:textId="77777777" w:rsidR="00097752" w:rsidRDefault="00097752"/>
    <w:sectPr w:rsidR="00097752" w:rsidSect="00E21D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66FFC"/>
    <w:multiLevelType w:val="multilevel"/>
    <w:tmpl w:val="AA2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2294E"/>
    <w:multiLevelType w:val="multilevel"/>
    <w:tmpl w:val="98F2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52"/>
    <w:rsid w:val="00097752"/>
    <w:rsid w:val="002B1B02"/>
    <w:rsid w:val="00551F5B"/>
    <w:rsid w:val="00772D3F"/>
    <w:rsid w:val="00876441"/>
    <w:rsid w:val="009E6D6E"/>
    <w:rsid w:val="00E2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ECB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7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rsid w:val="00772D3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72D3F"/>
  </w:style>
  <w:style w:type="character" w:styleId="Emphasis">
    <w:name w:val="Emphasis"/>
    <w:basedOn w:val="DefaultParagraphFont"/>
    <w:uiPriority w:val="20"/>
    <w:qFormat/>
    <w:rsid w:val="00772D3F"/>
    <w:rPr>
      <w:i/>
      <w:iCs/>
    </w:rPr>
  </w:style>
  <w:style w:type="paragraph" w:styleId="NormalWeb">
    <w:name w:val="Normal (Web)"/>
    <w:basedOn w:val="Normal"/>
    <w:uiPriority w:val="99"/>
    <w:semiHidden/>
    <w:unhideWhenUsed/>
    <w:rsid w:val="00772D3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20597">
      <w:bodyDiv w:val="1"/>
      <w:marLeft w:val="0"/>
      <w:marRight w:val="0"/>
      <w:marTop w:val="0"/>
      <w:marBottom w:val="0"/>
      <w:divBdr>
        <w:top w:val="none" w:sz="0" w:space="0" w:color="auto"/>
        <w:left w:val="none" w:sz="0" w:space="0" w:color="auto"/>
        <w:bottom w:val="none" w:sz="0" w:space="0" w:color="auto"/>
        <w:right w:val="none" w:sz="0" w:space="0" w:color="auto"/>
      </w:divBdr>
    </w:div>
    <w:div w:id="305084113">
      <w:bodyDiv w:val="1"/>
      <w:marLeft w:val="0"/>
      <w:marRight w:val="0"/>
      <w:marTop w:val="0"/>
      <w:marBottom w:val="0"/>
      <w:divBdr>
        <w:top w:val="none" w:sz="0" w:space="0" w:color="auto"/>
        <w:left w:val="none" w:sz="0" w:space="0" w:color="auto"/>
        <w:bottom w:val="none" w:sz="0" w:space="0" w:color="auto"/>
        <w:right w:val="none" w:sz="0" w:space="0" w:color="auto"/>
      </w:divBdr>
    </w:div>
    <w:div w:id="369720599">
      <w:bodyDiv w:val="1"/>
      <w:marLeft w:val="0"/>
      <w:marRight w:val="0"/>
      <w:marTop w:val="0"/>
      <w:marBottom w:val="0"/>
      <w:divBdr>
        <w:top w:val="none" w:sz="0" w:space="0" w:color="auto"/>
        <w:left w:val="none" w:sz="0" w:space="0" w:color="auto"/>
        <w:bottom w:val="none" w:sz="0" w:space="0" w:color="auto"/>
        <w:right w:val="none" w:sz="0" w:space="0" w:color="auto"/>
      </w:divBdr>
    </w:div>
    <w:div w:id="498541751">
      <w:bodyDiv w:val="1"/>
      <w:marLeft w:val="0"/>
      <w:marRight w:val="0"/>
      <w:marTop w:val="0"/>
      <w:marBottom w:val="0"/>
      <w:divBdr>
        <w:top w:val="none" w:sz="0" w:space="0" w:color="auto"/>
        <w:left w:val="none" w:sz="0" w:space="0" w:color="auto"/>
        <w:bottom w:val="none" w:sz="0" w:space="0" w:color="auto"/>
        <w:right w:val="none" w:sz="0" w:space="0" w:color="auto"/>
      </w:divBdr>
    </w:div>
    <w:div w:id="564027812">
      <w:bodyDiv w:val="1"/>
      <w:marLeft w:val="0"/>
      <w:marRight w:val="0"/>
      <w:marTop w:val="0"/>
      <w:marBottom w:val="0"/>
      <w:divBdr>
        <w:top w:val="none" w:sz="0" w:space="0" w:color="auto"/>
        <w:left w:val="none" w:sz="0" w:space="0" w:color="auto"/>
        <w:bottom w:val="none" w:sz="0" w:space="0" w:color="auto"/>
        <w:right w:val="none" w:sz="0" w:space="0" w:color="auto"/>
      </w:divBdr>
    </w:div>
    <w:div w:id="581373486">
      <w:bodyDiv w:val="1"/>
      <w:marLeft w:val="0"/>
      <w:marRight w:val="0"/>
      <w:marTop w:val="0"/>
      <w:marBottom w:val="0"/>
      <w:divBdr>
        <w:top w:val="none" w:sz="0" w:space="0" w:color="auto"/>
        <w:left w:val="none" w:sz="0" w:space="0" w:color="auto"/>
        <w:bottom w:val="none" w:sz="0" w:space="0" w:color="auto"/>
        <w:right w:val="none" w:sz="0" w:space="0" w:color="auto"/>
      </w:divBdr>
    </w:div>
    <w:div w:id="725878668">
      <w:bodyDiv w:val="1"/>
      <w:marLeft w:val="0"/>
      <w:marRight w:val="0"/>
      <w:marTop w:val="0"/>
      <w:marBottom w:val="0"/>
      <w:divBdr>
        <w:top w:val="none" w:sz="0" w:space="0" w:color="auto"/>
        <w:left w:val="none" w:sz="0" w:space="0" w:color="auto"/>
        <w:bottom w:val="none" w:sz="0" w:space="0" w:color="auto"/>
        <w:right w:val="none" w:sz="0" w:space="0" w:color="auto"/>
      </w:divBdr>
    </w:div>
    <w:div w:id="995037785">
      <w:bodyDiv w:val="1"/>
      <w:marLeft w:val="0"/>
      <w:marRight w:val="0"/>
      <w:marTop w:val="0"/>
      <w:marBottom w:val="0"/>
      <w:divBdr>
        <w:top w:val="none" w:sz="0" w:space="0" w:color="auto"/>
        <w:left w:val="none" w:sz="0" w:space="0" w:color="auto"/>
        <w:bottom w:val="none" w:sz="0" w:space="0" w:color="auto"/>
        <w:right w:val="none" w:sz="0" w:space="0" w:color="auto"/>
      </w:divBdr>
    </w:div>
    <w:div w:id="1210725677">
      <w:bodyDiv w:val="1"/>
      <w:marLeft w:val="0"/>
      <w:marRight w:val="0"/>
      <w:marTop w:val="0"/>
      <w:marBottom w:val="0"/>
      <w:divBdr>
        <w:top w:val="none" w:sz="0" w:space="0" w:color="auto"/>
        <w:left w:val="none" w:sz="0" w:space="0" w:color="auto"/>
        <w:bottom w:val="none" w:sz="0" w:space="0" w:color="auto"/>
        <w:right w:val="none" w:sz="0" w:space="0" w:color="auto"/>
      </w:divBdr>
    </w:div>
    <w:div w:id="1737313531">
      <w:bodyDiv w:val="1"/>
      <w:marLeft w:val="0"/>
      <w:marRight w:val="0"/>
      <w:marTop w:val="0"/>
      <w:marBottom w:val="0"/>
      <w:divBdr>
        <w:top w:val="none" w:sz="0" w:space="0" w:color="auto"/>
        <w:left w:val="none" w:sz="0" w:space="0" w:color="auto"/>
        <w:bottom w:val="none" w:sz="0" w:space="0" w:color="auto"/>
        <w:right w:val="none" w:sz="0" w:space="0" w:color="auto"/>
      </w:divBdr>
    </w:div>
    <w:div w:id="1871531908">
      <w:bodyDiv w:val="1"/>
      <w:marLeft w:val="0"/>
      <w:marRight w:val="0"/>
      <w:marTop w:val="0"/>
      <w:marBottom w:val="0"/>
      <w:divBdr>
        <w:top w:val="none" w:sz="0" w:space="0" w:color="auto"/>
        <w:left w:val="none" w:sz="0" w:space="0" w:color="auto"/>
        <w:bottom w:val="none" w:sz="0" w:space="0" w:color="auto"/>
        <w:right w:val="none" w:sz="0" w:space="0" w:color="auto"/>
      </w:divBdr>
    </w:div>
    <w:div w:id="2105030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In'Tveld</dc:creator>
  <cp:keywords/>
  <dc:description/>
  <cp:lastModifiedBy>Jennifer in'tVeld</cp:lastModifiedBy>
  <cp:revision>4</cp:revision>
  <dcterms:created xsi:type="dcterms:W3CDTF">2017-09-26T19:35:00Z</dcterms:created>
  <dcterms:modified xsi:type="dcterms:W3CDTF">2019-09-17T17:40:00Z</dcterms:modified>
</cp:coreProperties>
</file>